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rPr>
      </w:pPr>
      <w:bookmarkStart w:id="0" w:name="_Toc249253988"/>
      <w:bookmarkStart w:id="1" w:name="_Toc238645179"/>
    </w:p>
    <w:bookmarkEnd w:id="0"/>
    <w:bookmarkEnd w:id="1"/>
    <w:p>
      <w:pPr>
        <w:rPr>
          <w:rFonts w:ascii="宋体" w:hAnsi="宋体" w:cs="宋体"/>
        </w:rPr>
      </w:pPr>
    </w:p>
    <w:p>
      <w:pPr>
        <w:ind w:firstLine="0" w:firstLineChars="0"/>
        <w:jc w:val="center"/>
        <w:rPr>
          <w:rFonts w:hint="default" w:ascii="宋体" w:hAnsi="宋体" w:cs="宋体"/>
          <w:b/>
          <w:bCs/>
          <w:sz w:val="52"/>
          <w:szCs w:val="52"/>
          <w:lang w:val="en-US" w:eastAsia="zh-CN"/>
        </w:rPr>
      </w:pPr>
      <w:r>
        <w:rPr>
          <w:rFonts w:hint="eastAsia" w:ascii="宋体" w:hAnsi="宋体" w:cs="宋体"/>
          <w:b/>
          <w:bCs/>
          <w:sz w:val="52"/>
          <w:szCs w:val="52"/>
          <w:lang w:val="en-US" w:eastAsia="zh-CN"/>
        </w:rPr>
        <w:t>云萃苑项目28#楼</w:t>
      </w:r>
    </w:p>
    <w:p>
      <w:pPr>
        <w:ind w:firstLine="0" w:firstLineChars="0"/>
        <w:jc w:val="center"/>
        <w:rPr>
          <w:rFonts w:hint="eastAsia" w:ascii="宋体" w:hAnsi="宋体" w:cs="宋体"/>
          <w:b/>
          <w:bCs/>
          <w:sz w:val="52"/>
          <w:szCs w:val="52"/>
        </w:rPr>
      </w:pPr>
      <w:r>
        <w:rPr>
          <w:rFonts w:hint="eastAsia" w:ascii="宋体" w:hAnsi="宋体" w:cs="宋体"/>
          <w:b/>
          <w:bCs/>
          <w:sz w:val="52"/>
          <w:szCs w:val="52"/>
          <w:lang w:val="en-US" w:eastAsia="zh-CN"/>
        </w:rPr>
        <w:t>塔吊行程限位</w:t>
      </w:r>
      <w:r>
        <w:rPr>
          <w:rFonts w:hint="eastAsia" w:ascii="宋体" w:hAnsi="宋体" w:cs="宋体"/>
          <w:b/>
          <w:bCs/>
          <w:sz w:val="52"/>
          <w:szCs w:val="52"/>
        </w:rPr>
        <w:t>施工方案</w:t>
      </w:r>
    </w:p>
    <w:p>
      <w:pPr>
        <w:ind w:firstLine="0" w:firstLineChars="0"/>
        <w:jc w:val="center"/>
        <w:rPr>
          <w:rFonts w:hint="eastAsia" w:ascii="宋体" w:hAnsi="宋体" w:cs="宋体"/>
          <w:b/>
          <w:bCs/>
          <w:sz w:val="52"/>
          <w:szCs w:val="52"/>
        </w:rPr>
      </w:pPr>
    </w:p>
    <w:p>
      <w:pPr>
        <w:ind w:firstLine="0" w:firstLineChars="0"/>
        <w:jc w:val="center"/>
        <w:rPr>
          <w:rFonts w:hint="eastAsia" w:ascii="宋体" w:hAnsi="宋体" w:cs="宋体"/>
          <w:b/>
          <w:bCs/>
          <w:sz w:val="52"/>
          <w:szCs w:val="52"/>
        </w:rPr>
      </w:pPr>
    </w:p>
    <w:p>
      <w:pPr>
        <w:ind w:firstLine="0" w:firstLineChars="0"/>
        <w:jc w:val="center"/>
        <w:rPr>
          <w:rFonts w:hint="eastAsia" w:ascii="宋体" w:hAnsi="宋体" w:cs="宋体"/>
          <w:b/>
          <w:bCs/>
          <w:sz w:val="52"/>
          <w:szCs w:val="52"/>
        </w:rPr>
      </w:pPr>
    </w:p>
    <w:p>
      <w:pPr>
        <w:ind w:firstLine="0" w:firstLineChars="0"/>
        <w:jc w:val="center"/>
        <w:rPr>
          <w:rFonts w:hint="eastAsia" w:ascii="宋体" w:hAnsi="宋体" w:cs="宋体"/>
          <w:b/>
          <w:bCs/>
          <w:sz w:val="52"/>
          <w:szCs w:val="52"/>
        </w:rPr>
      </w:pPr>
    </w:p>
    <w:p>
      <w:pPr>
        <w:ind w:firstLine="0" w:firstLineChars="0"/>
        <w:jc w:val="center"/>
        <w:rPr>
          <w:rFonts w:hint="eastAsia" w:ascii="宋体" w:hAnsi="宋体" w:cs="宋体"/>
          <w:b/>
          <w:bCs/>
          <w:sz w:val="52"/>
          <w:szCs w:val="52"/>
        </w:rPr>
      </w:pPr>
    </w:p>
    <w:p>
      <w:pPr>
        <w:ind w:firstLine="0" w:firstLineChars="0"/>
        <w:jc w:val="both"/>
        <w:rPr>
          <w:rFonts w:hint="eastAsia" w:ascii="宋体" w:hAnsi="宋体" w:cs="宋体"/>
          <w:b/>
          <w:bCs/>
          <w:sz w:val="52"/>
          <w:szCs w:val="52"/>
        </w:rPr>
      </w:pPr>
    </w:p>
    <w:p>
      <w:pPr>
        <w:ind w:firstLine="0" w:firstLineChars="0"/>
        <w:jc w:val="center"/>
        <w:rPr>
          <w:rFonts w:hint="eastAsia" w:ascii="宋体" w:hAnsi="宋体" w:cs="宋体"/>
          <w:b/>
          <w:bCs/>
          <w:sz w:val="52"/>
          <w:szCs w:val="52"/>
        </w:rPr>
      </w:pPr>
    </w:p>
    <w:p>
      <w:pPr>
        <w:ind w:firstLine="0" w:firstLineChars="0"/>
        <w:rPr>
          <w:rFonts w:ascii="宋体" w:hAnsi="宋体" w:cs="宋体"/>
          <w:b/>
          <w:bCs/>
          <w:sz w:val="30"/>
          <w:szCs w:val="30"/>
          <w:u w:val="single"/>
        </w:rPr>
      </w:pPr>
      <w:r>
        <w:rPr>
          <w:rFonts w:hint="eastAsia" w:ascii="宋体" w:hAnsi="宋体" w:cs="宋体"/>
          <w:b/>
          <w:bCs/>
          <w:sz w:val="30"/>
          <w:szCs w:val="30"/>
        </w:rPr>
        <w:t xml:space="preserve">                    编制人：</w:t>
      </w:r>
      <w:r>
        <w:rPr>
          <w:rFonts w:hint="eastAsia" w:ascii="宋体" w:hAnsi="宋体" w:cs="宋体"/>
          <w:b/>
          <w:bCs/>
          <w:sz w:val="30"/>
          <w:szCs w:val="30"/>
          <w:u w:val="single"/>
        </w:rPr>
        <w:t xml:space="preserve">             </w:t>
      </w:r>
    </w:p>
    <w:p>
      <w:pPr>
        <w:ind w:firstLine="0" w:firstLineChars="0"/>
        <w:rPr>
          <w:rFonts w:ascii="宋体" w:hAnsi="宋体" w:cs="宋体"/>
          <w:b/>
          <w:bCs/>
          <w:sz w:val="30"/>
          <w:szCs w:val="30"/>
          <w:u w:val="single"/>
        </w:rPr>
      </w:pPr>
      <w:r>
        <w:rPr>
          <w:rFonts w:hint="eastAsia" w:ascii="宋体" w:hAnsi="宋体" w:cs="宋体"/>
          <w:b/>
          <w:bCs/>
          <w:sz w:val="30"/>
          <w:szCs w:val="30"/>
        </w:rPr>
        <w:t xml:space="preserve">                    审核人：</w:t>
      </w:r>
      <w:r>
        <w:rPr>
          <w:rFonts w:hint="eastAsia" w:ascii="宋体" w:hAnsi="宋体" w:cs="宋体"/>
          <w:b/>
          <w:bCs/>
          <w:sz w:val="30"/>
          <w:szCs w:val="30"/>
          <w:u w:val="single"/>
        </w:rPr>
        <w:t xml:space="preserve">             </w:t>
      </w:r>
    </w:p>
    <w:p>
      <w:pPr>
        <w:ind w:firstLine="0" w:firstLineChars="0"/>
        <w:rPr>
          <w:rFonts w:ascii="宋体" w:hAnsi="宋体" w:cs="宋体"/>
          <w:b/>
          <w:bCs/>
          <w:sz w:val="30"/>
          <w:szCs w:val="30"/>
          <w:u w:val="single"/>
        </w:rPr>
      </w:pPr>
      <w:r>
        <w:rPr>
          <w:rFonts w:hint="eastAsia" w:ascii="宋体" w:hAnsi="宋体" w:cs="宋体"/>
          <w:b/>
          <w:bCs/>
          <w:sz w:val="30"/>
          <w:szCs w:val="30"/>
        </w:rPr>
        <w:t xml:space="preserve">                    批准人：</w:t>
      </w:r>
      <w:r>
        <w:rPr>
          <w:rFonts w:hint="eastAsia" w:ascii="宋体" w:hAnsi="宋体" w:cs="宋体"/>
          <w:b/>
          <w:bCs/>
          <w:sz w:val="30"/>
          <w:szCs w:val="30"/>
          <w:u w:val="single"/>
        </w:rPr>
        <w:t xml:space="preserve">             </w:t>
      </w:r>
    </w:p>
    <w:p>
      <w:pPr>
        <w:ind w:firstLine="0" w:firstLineChars="0"/>
        <w:rPr>
          <w:rFonts w:ascii="宋体" w:hAnsi="宋体" w:cs="宋体"/>
        </w:rPr>
      </w:pPr>
    </w:p>
    <w:p>
      <w:pPr>
        <w:ind w:firstLine="0" w:firstLineChars="0"/>
        <w:rPr>
          <w:rFonts w:ascii="宋体" w:hAnsi="宋体" w:cs="宋体"/>
        </w:rPr>
      </w:pPr>
    </w:p>
    <w:p>
      <w:pPr>
        <w:ind w:firstLine="0" w:firstLineChars="0"/>
        <w:jc w:val="center"/>
        <w:rPr>
          <w:rFonts w:ascii="宋体" w:hAnsi="宋体" w:cs="宋体"/>
          <w:b/>
          <w:sz w:val="32"/>
          <w:szCs w:val="32"/>
        </w:rPr>
      </w:pPr>
      <w:r>
        <w:rPr>
          <w:rFonts w:hint="eastAsia" w:ascii="宋体" w:hAnsi="宋体" w:cs="宋体"/>
          <w:b/>
          <w:sz w:val="32"/>
          <w:szCs w:val="32"/>
        </w:rPr>
        <w:t>河南城源建设工程有限公司</w:t>
      </w:r>
    </w:p>
    <w:p>
      <w:pPr>
        <w:ind w:firstLine="0" w:firstLineChars="0"/>
        <w:jc w:val="center"/>
        <w:rPr>
          <w:rFonts w:hint="eastAsia" w:ascii="宋体" w:hAnsi="宋体" w:cs="宋体"/>
          <w:b/>
          <w:sz w:val="32"/>
          <w:szCs w:val="32"/>
        </w:rPr>
      </w:pPr>
      <w:r>
        <w:rPr>
          <w:rFonts w:hint="eastAsia" w:ascii="宋体" w:hAnsi="宋体" w:cs="宋体"/>
          <w:b/>
          <w:sz w:val="32"/>
          <w:szCs w:val="32"/>
        </w:rPr>
        <w:t>年    月    日</w:t>
      </w:r>
    </w:p>
    <w:p>
      <w:pPr>
        <w:ind w:firstLine="0" w:firstLineChars="0"/>
        <w:jc w:val="center"/>
        <w:rPr>
          <w:rFonts w:hint="eastAsia"/>
          <w:b/>
          <w:bCs/>
          <w:sz w:val="32"/>
          <w:szCs w:val="32"/>
        </w:rPr>
      </w:pPr>
    </w:p>
    <w:p>
      <w:pPr>
        <w:ind w:firstLine="0" w:firstLineChars="0"/>
        <w:jc w:val="center"/>
        <w:rPr>
          <w:b/>
          <w:bCs/>
          <w:sz w:val="32"/>
          <w:szCs w:val="32"/>
        </w:rPr>
      </w:pPr>
      <w:r>
        <w:rPr>
          <w:rFonts w:hint="eastAsia"/>
          <w:b/>
          <w:bCs/>
          <w:sz w:val="32"/>
          <w:szCs w:val="32"/>
        </w:rPr>
        <w:t>目  录</w:t>
      </w:r>
    </w:p>
    <w:p>
      <w:pPr>
        <w:pStyle w:val="12"/>
        <w:tabs>
          <w:tab w:val="right" w:leader="dot" w:pos="8901"/>
        </w:tabs>
      </w:pPr>
      <w:r>
        <w:rPr>
          <w:rFonts w:hint="eastAsia"/>
        </w:rPr>
        <w:fldChar w:fldCharType="begin"/>
      </w:r>
      <w:r>
        <w:rPr>
          <w:rFonts w:hint="eastAsia"/>
        </w:rPr>
        <w:instrText xml:space="preserve">TOC \o "1-2" \h \u </w:instrText>
      </w:r>
      <w:r>
        <w:rPr>
          <w:rFonts w:hint="eastAsia"/>
        </w:rPr>
        <w:fldChar w:fldCharType="separate"/>
      </w:r>
      <w:r>
        <w:rPr>
          <w:rFonts w:hint="eastAsia"/>
        </w:rPr>
        <w:fldChar w:fldCharType="begin"/>
      </w:r>
      <w:r>
        <w:rPr>
          <w:rFonts w:hint="eastAsia"/>
        </w:rPr>
        <w:instrText xml:space="preserve"> HYPERLINK \l _Toc20406 </w:instrText>
      </w:r>
      <w:r>
        <w:rPr>
          <w:rFonts w:hint="eastAsia"/>
        </w:rPr>
        <w:fldChar w:fldCharType="separate"/>
      </w:r>
      <w:r>
        <w:rPr>
          <w:rFonts w:hint="eastAsia"/>
          <w:lang w:val="en-US" w:eastAsia="zh-CN"/>
        </w:rPr>
        <w:t>1. 工程概况</w:t>
      </w:r>
      <w:r>
        <w:tab/>
      </w:r>
      <w:r>
        <w:fldChar w:fldCharType="begin"/>
      </w:r>
      <w:r>
        <w:instrText xml:space="preserve"> PAGEREF _Toc20406 \h </w:instrText>
      </w:r>
      <w:r>
        <w:fldChar w:fldCharType="separate"/>
      </w:r>
      <w:r>
        <w:t>1</w:t>
      </w:r>
      <w:r>
        <w:fldChar w:fldCharType="end"/>
      </w:r>
      <w:r>
        <w:rPr>
          <w:rFonts w:hint="eastAsia"/>
        </w:rPr>
        <w:fldChar w:fldCharType="end"/>
      </w:r>
    </w:p>
    <w:p>
      <w:pPr>
        <w:pStyle w:val="13"/>
        <w:tabs>
          <w:tab w:val="right" w:leader="dot" w:pos="8901"/>
        </w:tabs>
      </w:pPr>
      <w:r>
        <w:rPr>
          <w:rFonts w:hint="eastAsia"/>
        </w:rPr>
        <w:fldChar w:fldCharType="begin"/>
      </w:r>
      <w:r>
        <w:rPr>
          <w:rFonts w:hint="eastAsia"/>
        </w:rPr>
        <w:instrText xml:space="preserve"> HYPERLINK \l _Toc26572 </w:instrText>
      </w:r>
      <w:r>
        <w:rPr>
          <w:rFonts w:hint="eastAsia"/>
        </w:rPr>
        <w:fldChar w:fldCharType="separate"/>
      </w:r>
      <w:r>
        <w:rPr>
          <w:rFonts w:hint="eastAsia"/>
          <w:lang w:val="en-US" w:eastAsia="zh-CN"/>
        </w:rPr>
        <w:t>1.1责任主体</w:t>
      </w:r>
      <w:r>
        <w:tab/>
      </w:r>
      <w:r>
        <w:fldChar w:fldCharType="begin"/>
      </w:r>
      <w:r>
        <w:instrText xml:space="preserve"> PAGEREF _Toc26572 \h </w:instrText>
      </w:r>
      <w:r>
        <w:fldChar w:fldCharType="separate"/>
      </w:r>
      <w:r>
        <w:t>1</w:t>
      </w:r>
      <w:r>
        <w:fldChar w:fldCharType="end"/>
      </w:r>
      <w:r>
        <w:rPr>
          <w:rFonts w:hint="eastAsia"/>
        </w:rPr>
        <w:fldChar w:fldCharType="end"/>
      </w:r>
    </w:p>
    <w:p>
      <w:pPr>
        <w:pStyle w:val="13"/>
        <w:tabs>
          <w:tab w:val="right" w:leader="dot" w:pos="8901"/>
        </w:tabs>
      </w:pPr>
      <w:r>
        <w:rPr>
          <w:rFonts w:hint="eastAsia"/>
        </w:rPr>
        <w:fldChar w:fldCharType="begin"/>
      </w:r>
      <w:r>
        <w:rPr>
          <w:rFonts w:hint="eastAsia"/>
        </w:rPr>
        <w:instrText xml:space="preserve"> HYPERLINK \l _Toc5422 </w:instrText>
      </w:r>
      <w:r>
        <w:rPr>
          <w:rFonts w:hint="eastAsia"/>
        </w:rPr>
        <w:fldChar w:fldCharType="separate"/>
      </w:r>
      <w:r>
        <w:rPr>
          <w:rFonts w:hint="eastAsia"/>
          <w:lang w:val="en-US" w:eastAsia="zh-CN"/>
        </w:rPr>
        <w:t>1.2工程简介</w:t>
      </w:r>
      <w:r>
        <w:tab/>
      </w:r>
      <w:r>
        <w:fldChar w:fldCharType="begin"/>
      </w:r>
      <w:r>
        <w:instrText xml:space="preserve"> PAGEREF _Toc5422 \h </w:instrText>
      </w:r>
      <w:r>
        <w:fldChar w:fldCharType="separate"/>
      </w:r>
      <w:r>
        <w:t>1</w:t>
      </w:r>
      <w:r>
        <w:fldChar w:fldCharType="end"/>
      </w:r>
      <w:r>
        <w:rPr>
          <w:rFonts w:hint="eastAsia"/>
        </w:rPr>
        <w:fldChar w:fldCharType="end"/>
      </w:r>
    </w:p>
    <w:p>
      <w:pPr>
        <w:pStyle w:val="12"/>
        <w:tabs>
          <w:tab w:val="right" w:leader="dot" w:pos="8901"/>
        </w:tabs>
      </w:pPr>
      <w:r>
        <w:rPr>
          <w:rFonts w:hint="eastAsia"/>
        </w:rPr>
        <w:fldChar w:fldCharType="begin"/>
      </w:r>
      <w:r>
        <w:rPr>
          <w:rFonts w:hint="eastAsia"/>
        </w:rPr>
        <w:instrText xml:space="preserve"> HYPERLINK \l _Toc3340 </w:instrText>
      </w:r>
      <w:r>
        <w:rPr>
          <w:rFonts w:hint="eastAsia"/>
        </w:rPr>
        <w:fldChar w:fldCharType="separate"/>
      </w:r>
      <w:r>
        <w:rPr>
          <w:rFonts w:hint="eastAsia"/>
          <w:lang w:val="en-US" w:eastAsia="zh-CN"/>
        </w:rPr>
        <w:t>2.编制依据</w:t>
      </w:r>
      <w:r>
        <w:tab/>
      </w:r>
      <w:r>
        <w:fldChar w:fldCharType="begin"/>
      </w:r>
      <w:r>
        <w:instrText xml:space="preserve"> PAGEREF _Toc3340 \h </w:instrText>
      </w:r>
      <w:r>
        <w:fldChar w:fldCharType="separate"/>
      </w:r>
      <w:r>
        <w:t>1</w:t>
      </w:r>
      <w:r>
        <w:fldChar w:fldCharType="end"/>
      </w:r>
      <w:r>
        <w:rPr>
          <w:rFonts w:hint="eastAsia"/>
        </w:rPr>
        <w:fldChar w:fldCharType="end"/>
      </w:r>
    </w:p>
    <w:p>
      <w:pPr>
        <w:pStyle w:val="12"/>
        <w:tabs>
          <w:tab w:val="right" w:leader="dot" w:pos="8901"/>
        </w:tabs>
      </w:pPr>
      <w:r>
        <w:rPr>
          <w:rFonts w:hint="eastAsia"/>
        </w:rPr>
        <w:fldChar w:fldCharType="begin"/>
      </w:r>
      <w:r>
        <w:rPr>
          <w:rFonts w:hint="eastAsia"/>
        </w:rPr>
        <w:instrText xml:space="preserve"> HYPERLINK \l _Toc17040 </w:instrText>
      </w:r>
      <w:r>
        <w:rPr>
          <w:rFonts w:hint="eastAsia"/>
        </w:rPr>
        <w:fldChar w:fldCharType="separate"/>
      </w:r>
      <w:r>
        <w:rPr>
          <w:rFonts w:hint="eastAsia"/>
          <w:lang w:val="en-US" w:eastAsia="zh-CN"/>
        </w:rPr>
        <w:t>3.塔吊基础定位</w:t>
      </w:r>
      <w:r>
        <w:tab/>
      </w:r>
      <w:r>
        <w:fldChar w:fldCharType="begin"/>
      </w:r>
      <w:r>
        <w:instrText xml:space="preserve"> PAGEREF _Toc17040 \h </w:instrText>
      </w:r>
      <w:r>
        <w:fldChar w:fldCharType="separate"/>
      </w:r>
      <w:r>
        <w:t>2</w:t>
      </w:r>
      <w:r>
        <w:fldChar w:fldCharType="end"/>
      </w:r>
      <w:r>
        <w:rPr>
          <w:rFonts w:hint="eastAsia"/>
        </w:rPr>
        <w:fldChar w:fldCharType="end"/>
      </w:r>
    </w:p>
    <w:p>
      <w:pPr>
        <w:pStyle w:val="13"/>
        <w:tabs>
          <w:tab w:val="right" w:leader="dot" w:pos="8901"/>
        </w:tabs>
      </w:pPr>
      <w:r>
        <w:rPr>
          <w:rFonts w:hint="eastAsia"/>
        </w:rPr>
        <w:fldChar w:fldCharType="begin"/>
      </w:r>
      <w:r>
        <w:rPr>
          <w:rFonts w:hint="eastAsia"/>
        </w:rPr>
        <w:instrText xml:space="preserve"> HYPERLINK \l _Toc13080 </w:instrText>
      </w:r>
      <w:r>
        <w:rPr>
          <w:rFonts w:hint="eastAsia"/>
        </w:rPr>
        <w:fldChar w:fldCharType="separate"/>
      </w:r>
      <w:r>
        <w:rPr>
          <w:rFonts w:hint="eastAsia"/>
          <w:lang w:val="en-US" w:eastAsia="zh-CN"/>
        </w:rPr>
        <w:t>3.1塔吊基础定位</w:t>
      </w:r>
      <w:r>
        <w:tab/>
      </w:r>
      <w:r>
        <w:fldChar w:fldCharType="begin"/>
      </w:r>
      <w:r>
        <w:instrText xml:space="preserve"> PAGEREF _Toc13080 \h </w:instrText>
      </w:r>
      <w:r>
        <w:fldChar w:fldCharType="separate"/>
      </w:r>
      <w:r>
        <w:t>2</w:t>
      </w:r>
      <w:r>
        <w:fldChar w:fldCharType="end"/>
      </w:r>
      <w:r>
        <w:rPr>
          <w:rFonts w:hint="eastAsia"/>
        </w:rPr>
        <w:fldChar w:fldCharType="end"/>
      </w:r>
    </w:p>
    <w:p>
      <w:pPr>
        <w:pStyle w:val="12"/>
        <w:tabs>
          <w:tab w:val="right" w:leader="dot" w:pos="8901"/>
        </w:tabs>
      </w:pPr>
      <w:r>
        <w:rPr>
          <w:rFonts w:hint="eastAsia"/>
        </w:rPr>
        <w:fldChar w:fldCharType="begin"/>
      </w:r>
      <w:r>
        <w:rPr>
          <w:rFonts w:hint="eastAsia"/>
        </w:rPr>
        <w:instrText xml:space="preserve"> HYPERLINK \l _Toc13563 </w:instrText>
      </w:r>
      <w:r>
        <w:rPr>
          <w:rFonts w:hint="eastAsia"/>
        </w:rPr>
        <w:fldChar w:fldCharType="separate"/>
      </w:r>
      <w:r>
        <w:rPr>
          <w:rFonts w:hint="eastAsia"/>
          <w:lang w:val="en-US" w:eastAsia="zh-CN"/>
        </w:rPr>
        <w:t>4.施工准备</w:t>
      </w:r>
      <w:r>
        <w:tab/>
      </w:r>
      <w:r>
        <w:fldChar w:fldCharType="begin"/>
      </w:r>
      <w:r>
        <w:instrText xml:space="preserve"> PAGEREF _Toc13563 \h </w:instrText>
      </w:r>
      <w:r>
        <w:fldChar w:fldCharType="separate"/>
      </w:r>
      <w:r>
        <w:t>4</w:t>
      </w:r>
      <w:r>
        <w:fldChar w:fldCharType="end"/>
      </w:r>
      <w:r>
        <w:rPr>
          <w:rFonts w:hint="eastAsia"/>
        </w:rPr>
        <w:fldChar w:fldCharType="end"/>
      </w:r>
    </w:p>
    <w:p>
      <w:pPr>
        <w:pStyle w:val="12"/>
        <w:tabs>
          <w:tab w:val="right" w:leader="dot" w:pos="8901"/>
        </w:tabs>
      </w:pPr>
      <w:r>
        <w:rPr>
          <w:rFonts w:hint="eastAsia"/>
        </w:rPr>
        <w:fldChar w:fldCharType="begin"/>
      </w:r>
      <w:r>
        <w:rPr>
          <w:rFonts w:hint="eastAsia"/>
        </w:rPr>
        <w:instrText xml:space="preserve"> HYPERLINK \l _Toc24787 </w:instrText>
      </w:r>
      <w:r>
        <w:rPr>
          <w:rFonts w:hint="eastAsia"/>
        </w:rPr>
        <w:fldChar w:fldCharType="separate"/>
      </w:r>
      <w:r>
        <w:rPr>
          <w:rFonts w:hint="eastAsia"/>
          <w:lang w:val="en-US" w:eastAsia="zh-CN"/>
        </w:rPr>
        <w:t>5.塔吊安全限位</w:t>
      </w:r>
      <w:r>
        <w:tab/>
      </w:r>
      <w:r>
        <w:fldChar w:fldCharType="begin"/>
      </w:r>
      <w:r>
        <w:instrText xml:space="preserve"> PAGEREF _Toc24787 \h </w:instrText>
      </w:r>
      <w:r>
        <w:fldChar w:fldCharType="separate"/>
      </w:r>
      <w:r>
        <w:t>4</w:t>
      </w:r>
      <w:r>
        <w:fldChar w:fldCharType="end"/>
      </w:r>
      <w:r>
        <w:rPr>
          <w:rFonts w:hint="eastAsia"/>
        </w:rPr>
        <w:fldChar w:fldCharType="end"/>
      </w:r>
    </w:p>
    <w:p>
      <w:pPr>
        <w:pStyle w:val="12"/>
        <w:tabs>
          <w:tab w:val="right" w:leader="dot" w:pos="8901"/>
        </w:tabs>
      </w:pPr>
      <w:r>
        <w:rPr>
          <w:rFonts w:hint="eastAsia"/>
        </w:rPr>
        <w:fldChar w:fldCharType="begin"/>
      </w:r>
      <w:r>
        <w:rPr>
          <w:rFonts w:hint="eastAsia"/>
        </w:rPr>
        <w:instrText xml:space="preserve"> HYPERLINK \l _Toc1270 </w:instrText>
      </w:r>
      <w:r>
        <w:rPr>
          <w:rFonts w:hint="eastAsia"/>
        </w:rPr>
        <w:fldChar w:fldCharType="separate"/>
      </w:r>
      <w:r>
        <w:rPr>
          <w:rFonts w:hint="eastAsia"/>
          <w:lang w:val="en-US" w:eastAsia="zh-CN"/>
        </w:rPr>
        <w:t>6.</w:t>
      </w:r>
      <w:r>
        <w:rPr>
          <w:rFonts w:hint="eastAsia"/>
        </w:rPr>
        <w:t>主要施工方案及技术、安全措施</w:t>
      </w:r>
      <w:r>
        <w:tab/>
      </w:r>
      <w:r>
        <w:fldChar w:fldCharType="begin"/>
      </w:r>
      <w:r>
        <w:instrText xml:space="preserve"> PAGEREF _Toc1270 \h </w:instrText>
      </w:r>
      <w:r>
        <w:fldChar w:fldCharType="separate"/>
      </w:r>
      <w:r>
        <w:t>5</w:t>
      </w:r>
      <w:r>
        <w:fldChar w:fldCharType="end"/>
      </w:r>
      <w:r>
        <w:rPr>
          <w:rFonts w:hint="eastAsia"/>
        </w:rPr>
        <w:fldChar w:fldCharType="end"/>
      </w:r>
    </w:p>
    <w:p>
      <w:pPr>
        <w:pStyle w:val="12"/>
        <w:tabs>
          <w:tab w:val="right" w:leader="dot" w:pos="8901"/>
        </w:tabs>
      </w:pPr>
      <w:r>
        <w:rPr>
          <w:rFonts w:hint="eastAsia"/>
        </w:rPr>
        <w:fldChar w:fldCharType="begin"/>
      </w:r>
      <w:r>
        <w:rPr>
          <w:rFonts w:hint="eastAsia"/>
        </w:rPr>
        <w:instrText xml:space="preserve"> HYPERLINK \l _Toc11513 </w:instrText>
      </w:r>
      <w:r>
        <w:rPr>
          <w:rFonts w:hint="eastAsia"/>
        </w:rPr>
        <w:fldChar w:fldCharType="separate"/>
      </w:r>
      <w:r>
        <w:rPr>
          <w:rFonts w:hint="eastAsia"/>
          <w:lang w:val="en-US" w:eastAsia="zh-CN"/>
        </w:rPr>
        <w:t>7.应急预案</w:t>
      </w:r>
      <w:r>
        <w:tab/>
      </w:r>
      <w:r>
        <w:fldChar w:fldCharType="begin"/>
      </w:r>
      <w:r>
        <w:instrText xml:space="preserve"> PAGEREF _Toc11513 \h </w:instrText>
      </w:r>
      <w:r>
        <w:fldChar w:fldCharType="separate"/>
      </w:r>
      <w:r>
        <w:t>5</w:t>
      </w:r>
      <w:r>
        <w:fldChar w:fldCharType="end"/>
      </w:r>
      <w:r>
        <w:rPr>
          <w:rFonts w:hint="eastAsia"/>
        </w:rPr>
        <w:fldChar w:fldCharType="end"/>
      </w:r>
    </w:p>
    <w:p>
      <w:pPr>
        <w:pStyle w:val="13"/>
        <w:tabs>
          <w:tab w:val="right" w:leader="dot" w:pos="8901"/>
        </w:tabs>
      </w:pPr>
      <w:r>
        <w:rPr>
          <w:rFonts w:hint="eastAsia"/>
        </w:rPr>
        <w:fldChar w:fldCharType="begin"/>
      </w:r>
      <w:r>
        <w:rPr>
          <w:rFonts w:hint="eastAsia"/>
        </w:rPr>
        <w:instrText xml:space="preserve"> HYPERLINK \l _Toc5469 </w:instrText>
      </w:r>
      <w:r>
        <w:rPr>
          <w:rFonts w:hint="eastAsia"/>
        </w:rPr>
        <w:fldChar w:fldCharType="separate"/>
      </w:r>
      <w:r>
        <w:rPr>
          <w:rFonts w:hint="eastAsia"/>
          <w:lang w:val="en-US" w:eastAsia="zh-CN"/>
        </w:rPr>
        <w:t>7.1</w:t>
      </w:r>
      <w:r>
        <w:rPr>
          <w:rFonts w:hint="eastAsia"/>
        </w:rPr>
        <w:t>目的</w:t>
      </w:r>
      <w:r>
        <w:tab/>
      </w:r>
      <w:r>
        <w:fldChar w:fldCharType="begin"/>
      </w:r>
      <w:r>
        <w:instrText xml:space="preserve"> PAGEREF _Toc5469 \h </w:instrText>
      </w:r>
      <w:r>
        <w:fldChar w:fldCharType="separate"/>
      </w:r>
      <w:r>
        <w:t>5</w:t>
      </w:r>
      <w:r>
        <w:fldChar w:fldCharType="end"/>
      </w:r>
      <w:r>
        <w:rPr>
          <w:rFonts w:hint="eastAsia"/>
        </w:rPr>
        <w:fldChar w:fldCharType="end"/>
      </w:r>
    </w:p>
    <w:p>
      <w:pPr>
        <w:pStyle w:val="13"/>
        <w:tabs>
          <w:tab w:val="right" w:leader="dot" w:pos="8901"/>
        </w:tabs>
      </w:pPr>
      <w:r>
        <w:rPr>
          <w:rFonts w:hint="eastAsia"/>
        </w:rPr>
        <w:fldChar w:fldCharType="begin"/>
      </w:r>
      <w:r>
        <w:rPr>
          <w:rFonts w:hint="eastAsia"/>
        </w:rPr>
        <w:instrText xml:space="preserve"> HYPERLINK \l _Toc8665 </w:instrText>
      </w:r>
      <w:r>
        <w:rPr>
          <w:rFonts w:hint="eastAsia"/>
        </w:rPr>
        <w:fldChar w:fldCharType="separate"/>
      </w:r>
      <w:r>
        <w:rPr>
          <w:rFonts w:hint="eastAsia"/>
          <w:lang w:val="en-US" w:eastAsia="zh-CN"/>
        </w:rPr>
        <w:t>7.2</w:t>
      </w:r>
      <w:r>
        <w:rPr>
          <w:rFonts w:hint="eastAsia"/>
        </w:rPr>
        <w:t>应急预案施救项目的具体施救方法</w:t>
      </w:r>
      <w:r>
        <w:tab/>
      </w:r>
      <w:r>
        <w:fldChar w:fldCharType="begin"/>
      </w:r>
      <w:r>
        <w:instrText xml:space="preserve"> PAGEREF _Toc8665 \h </w:instrText>
      </w:r>
      <w:r>
        <w:fldChar w:fldCharType="separate"/>
      </w:r>
      <w:r>
        <w:t>5</w:t>
      </w:r>
      <w:r>
        <w:fldChar w:fldCharType="end"/>
      </w:r>
      <w:r>
        <w:rPr>
          <w:rFonts w:hint="eastAsia"/>
        </w:rPr>
        <w:fldChar w:fldCharType="end"/>
      </w:r>
    </w:p>
    <w:p>
      <w:pPr>
        <w:pStyle w:val="13"/>
        <w:tabs>
          <w:tab w:val="right" w:leader="dot" w:pos="8901"/>
        </w:tabs>
      </w:pPr>
      <w:r>
        <w:rPr>
          <w:rFonts w:hint="eastAsia"/>
        </w:rPr>
        <w:fldChar w:fldCharType="begin"/>
      </w:r>
      <w:r>
        <w:rPr>
          <w:rFonts w:hint="eastAsia"/>
        </w:rPr>
        <w:instrText xml:space="preserve"> HYPERLINK \l _Toc13978 </w:instrText>
      </w:r>
      <w:r>
        <w:rPr>
          <w:rFonts w:hint="eastAsia"/>
        </w:rPr>
        <w:fldChar w:fldCharType="separate"/>
      </w:r>
      <w:r>
        <w:rPr>
          <w:rFonts w:hint="eastAsia"/>
          <w:lang w:val="en-US" w:eastAsia="zh-CN"/>
        </w:rPr>
        <w:t>7.3</w:t>
      </w:r>
      <w:r>
        <w:rPr>
          <w:rFonts w:hint="eastAsia"/>
        </w:rPr>
        <w:t>应急准备</w:t>
      </w:r>
      <w:r>
        <w:tab/>
      </w:r>
      <w:r>
        <w:fldChar w:fldCharType="begin"/>
      </w:r>
      <w:r>
        <w:instrText xml:space="preserve"> PAGEREF _Toc13978 \h </w:instrText>
      </w:r>
      <w:r>
        <w:fldChar w:fldCharType="separate"/>
      </w:r>
      <w:r>
        <w:t>6</w:t>
      </w:r>
      <w:r>
        <w:fldChar w:fldCharType="end"/>
      </w:r>
      <w:r>
        <w:rPr>
          <w:rFonts w:hint="eastAsia"/>
        </w:rPr>
        <w:fldChar w:fldCharType="end"/>
      </w:r>
    </w:p>
    <w:p>
      <w:pPr>
        <w:pStyle w:val="13"/>
        <w:tabs>
          <w:tab w:val="right" w:leader="dot" w:pos="8901"/>
        </w:tabs>
      </w:pPr>
      <w:r>
        <w:rPr>
          <w:rFonts w:hint="eastAsia"/>
        </w:rPr>
        <w:fldChar w:fldCharType="begin"/>
      </w:r>
      <w:r>
        <w:rPr>
          <w:rFonts w:hint="eastAsia"/>
        </w:rPr>
        <w:instrText xml:space="preserve"> HYPERLINK \l _Toc26664 </w:instrText>
      </w:r>
      <w:r>
        <w:rPr>
          <w:rFonts w:hint="eastAsia"/>
        </w:rPr>
        <w:fldChar w:fldCharType="separate"/>
      </w:r>
      <w:r>
        <w:rPr>
          <w:rFonts w:hint="eastAsia"/>
          <w:lang w:val="en-US" w:eastAsia="zh-CN"/>
        </w:rPr>
        <w:t>7.4</w:t>
      </w:r>
      <w:r>
        <w:rPr>
          <w:rFonts w:hint="eastAsia"/>
        </w:rPr>
        <w:t>应急响应</w:t>
      </w:r>
      <w:r>
        <w:tab/>
      </w:r>
      <w:r>
        <w:fldChar w:fldCharType="begin"/>
      </w:r>
      <w:r>
        <w:instrText xml:space="preserve"> PAGEREF _Toc26664 \h </w:instrText>
      </w:r>
      <w:r>
        <w:fldChar w:fldCharType="separate"/>
      </w:r>
      <w:r>
        <w:t>7</w:t>
      </w:r>
      <w:r>
        <w:fldChar w:fldCharType="end"/>
      </w:r>
      <w:r>
        <w:rPr>
          <w:rFonts w:hint="eastAsia"/>
        </w:rPr>
        <w:fldChar w:fldCharType="end"/>
      </w:r>
    </w:p>
    <w:p>
      <w:pPr>
        <w:pStyle w:val="13"/>
        <w:tabs>
          <w:tab w:val="right" w:leader="dot" w:pos="8901"/>
        </w:tabs>
      </w:pPr>
      <w:r>
        <w:rPr>
          <w:rFonts w:hint="eastAsia"/>
        </w:rPr>
        <w:fldChar w:fldCharType="begin"/>
      </w:r>
      <w:r>
        <w:rPr>
          <w:rFonts w:hint="eastAsia"/>
        </w:rPr>
        <w:instrText xml:space="preserve"> HYPERLINK \l _Toc26809 </w:instrText>
      </w:r>
      <w:r>
        <w:rPr>
          <w:rFonts w:hint="eastAsia"/>
        </w:rPr>
        <w:fldChar w:fldCharType="separate"/>
      </w:r>
      <w:r>
        <w:rPr>
          <w:rFonts w:hint="eastAsia"/>
          <w:lang w:val="en-US" w:eastAsia="zh-CN"/>
        </w:rPr>
        <w:t>7.5</w:t>
      </w:r>
      <w:r>
        <w:rPr>
          <w:rFonts w:hint="eastAsia"/>
        </w:rPr>
        <w:t>相关联系方式及就医路线图</w:t>
      </w:r>
      <w:r>
        <w:tab/>
      </w:r>
      <w:r>
        <w:fldChar w:fldCharType="begin"/>
      </w:r>
      <w:r>
        <w:instrText xml:space="preserve"> PAGEREF _Toc26809 \h </w:instrText>
      </w:r>
      <w:r>
        <w:fldChar w:fldCharType="separate"/>
      </w:r>
      <w:r>
        <w:t>8</w:t>
      </w:r>
      <w:r>
        <w:fldChar w:fldCharType="end"/>
      </w:r>
      <w:r>
        <w:rPr>
          <w:rFonts w:hint="eastAsia"/>
        </w:rPr>
        <w:fldChar w:fldCharType="end"/>
      </w:r>
    </w:p>
    <w:p>
      <w:pPr>
        <w:ind w:firstLine="0" w:firstLineChars="0"/>
        <w:sectPr>
          <w:headerReference r:id="rId5" w:type="default"/>
          <w:footerReference r:id="rId6" w:type="default"/>
          <w:pgSz w:w="11906" w:h="16838"/>
          <w:pgMar w:top="1417" w:right="1134" w:bottom="1417" w:left="1417" w:header="794" w:footer="992" w:gutter="454"/>
          <w:pgNumType w:start="1"/>
          <w:cols w:space="0" w:num="1"/>
          <w:docGrid w:type="lines" w:linePitch="312" w:charSpace="0"/>
        </w:sectPr>
      </w:pPr>
      <w:r>
        <w:rPr>
          <w:rFonts w:hint="eastAsia"/>
        </w:rPr>
        <w:fldChar w:fldCharType="end"/>
      </w:r>
    </w:p>
    <w:p>
      <w:pPr>
        <w:pStyle w:val="2"/>
        <w:numPr>
          <w:ilvl w:val="0"/>
          <w:numId w:val="3"/>
        </w:numPr>
        <w:bidi w:val="0"/>
        <w:rPr>
          <w:rFonts w:hint="eastAsia"/>
          <w:lang w:val="en-US" w:eastAsia="zh-CN"/>
        </w:rPr>
      </w:pPr>
      <w:bookmarkStart w:id="2" w:name="_Toc20406"/>
      <w:r>
        <w:rPr>
          <w:rFonts w:hint="eastAsia"/>
          <w:lang w:val="en-US" w:eastAsia="zh-CN"/>
        </w:rPr>
        <w:t>工程概况</w:t>
      </w:r>
      <w:bookmarkEnd w:id="2"/>
    </w:p>
    <w:p>
      <w:pPr>
        <w:pStyle w:val="3"/>
        <w:bidi w:val="0"/>
        <w:rPr>
          <w:rFonts w:hint="default"/>
          <w:lang w:val="en-US" w:eastAsia="zh-CN"/>
        </w:rPr>
      </w:pPr>
      <w:bookmarkStart w:id="3" w:name="_Toc26572"/>
      <w:r>
        <w:rPr>
          <w:rFonts w:hint="eastAsia"/>
          <w:lang w:val="en-US" w:eastAsia="zh-CN"/>
        </w:rPr>
        <w:t>1.1责任主体</w:t>
      </w:r>
      <w:bookmarkEnd w:id="3"/>
    </w:p>
    <w:p>
      <w:pPr>
        <w:rPr>
          <w:rFonts w:hint="default"/>
          <w:lang w:val="en-US" w:eastAsia="zh-CN"/>
        </w:rPr>
      </w:pPr>
      <w:r>
        <w:rPr>
          <w:rFonts w:hint="eastAsia"/>
        </w:rPr>
        <w:t>建设单位</w:t>
      </w:r>
      <w:r>
        <w:rPr>
          <w:rFonts w:hint="eastAsia"/>
          <w:lang w:eastAsia="zh-CN"/>
        </w:rPr>
        <w:t>：</w:t>
      </w:r>
      <w:r>
        <w:rPr>
          <w:rFonts w:hint="eastAsia"/>
          <w:lang w:val="en-US" w:eastAsia="zh-CN"/>
        </w:rPr>
        <w:t>郑州泰博房地产开发有限公司</w:t>
      </w:r>
    </w:p>
    <w:p>
      <w:pPr>
        <w:rPr>
          <w:rFonts w:hint="default"/>
          <w:lang w:val="en-US" w:eastAsia="zh-CN"/>
        </w:rPr>
      </w:pPr>
      <w:r>
        <w:rPr>
          <w:rFonts w:hint="eastAsia"/>
        </w:rPr>
        <w:t>设计单位</w:t>
      </w:r>
      <w:r>
        <w:rPr>
          <w:rFonts w:hint="eastAsia"/>
          <w:lang w:eastAsia="zh-CN"/>
        </w:rPr>
        <w:t>：</w:t>
      </w:r>
      <w:r>
        <w:rPr>
          <w:rFonts w:hint="eastAsia"/>
          <w:lang w:val="en-US" w:eastAsia="zh-CN"/>
        </w:rPr>
        <w:t>上海天华建筑设计有限公司</w:t>
      </w:r>
    </w:p>
    <w:p>
      <w:pPr>
        <w:rPr>
          <w:rFonts w:hint="default"/>
          <w:lang w:val="en-US" w:eastAsia="zh-CN"/>
        </w:rPr>
      </w:pPr>
      <w:r>
        <w:rPr>
          <w:rFonts w:hint="eastAsia"/>
          <w:lang w:val="en-US" w:eastAsia="zh-CN"/>
        </w:rPr>
        <w:t>监理单位：广源管理咨询有限公司</w:t>
      </w:r>
    </w:p>
    <w:p>
      <w:pPr>
        <w:rPr>
          <w:rFonts w:hint="eastAsia"/>
          <w:lang w:val="en-US" w:eastAsia="zh-CN"/>
        </w:rPr>
      </w:pPr>
      <w:r>
        <w:rPr>
          <w:rFonts w:hint="eastAsia"/>
          <w:lang w:val="en-US" w:eastAsia="zh-CN"/>
        </w:rPr>
        <w:t>地勘单位：郑州岩土工程勘察设计院</w:t>
      </w:r>
    </w:p>
    <w:p>
      <w:pPr>
        <w:rPr>
          <w:rFonts w:hint="eastAsia"/>
        </w:rPr>
      </w:pPr>
      <w:r>
        <w:rPr>
          <w:rFonts w:hint="eastAsia"/>
          <w:lang w:val="en-US" w:eastAsia="zh-CN"/>
        </w:rPr>
        <w:t>施工单位：</w:t>
      </w:r>
      <w:r>
        <w:rPr>
          <w:rFonts w:hint="eastAsia"/>
        </w:rPr>
        <w:t>河南城源建设工程有限公司</w:t>
      </w:r>
    </w:p>
    <w:p>
      <w:pPr>
        <w:pStyle w:val="3"/>
        <w:bidi w:val="0"/>
        <w:rPr>
          <w:rFonts w:hint="default"/>
          <w:lang w:val="en-US" w:eastAsia="zh-CN"/>
        </w:rPr>
      </w:pPr>
      <w:bookmarkStart w:id="4" w:name="_Toc5422"/>
      <w:r>
        <w:rPr>
          <w:rFonts w:hint="eastAsia"/>
          <w:lang w:val="en-US" w:eastAsia="zh-CN"/>
        </w:rPr>
        <w:t>1.2工程简介</w:t>
      </w:r>
      <w:bookmarkEnd w:id="4"/>
    </w:p>
    <w:p>
      <w:pPr>
        <w:bidi w:val="0"/>
        <w:rPr>
          <w:rFonts w:hint="eastAsia"/>
          <w:lang w:val="en-US" w:eastAsia="zh-CN"/>
        </w:rPr>
      </w:pPr>
      <w:r>
        <w:rPr>
          <w:rFonts w:hint="eastAsia"/>
        </w:rPr>
        <w:t>本工程</w:t>
      </w:r>
      <w:r>
        <w:rPr>
          <w:rFonts w:hint="eastAsia"/>
          <w:lang w:eastAsia="zh-CN"/>
        </w:rPr>
        <w:t>位于</w:t>
      </w:r>
      <w:r>
        <w:rPr>
          <w:rFonts w:hint="eastAsia"/>
          <w:lang w:val="en-US" w:eastAsia="zh-CN"/>
        </w:rPr>
        <w:t>郑州市惠济区天元路南、鲁河路西。项目建设用地面积11931.83㎡，总建筑面积450340.57㎡；28#楼位于项目16#17#楼中间，是项目物业管理用房，地上1层、框架结构、独立基础，无地下室；建筑面积约1000㎡，±0.000为92.300m，建筑高度4.5m/5.5m/7.2m。</w:t>
      </w:r>
    </w:p>
    <w:p>
      <w:pPr>
        <w:bidi w:val="0"/>
        <w:rPr>
          <w:rFonts w:hint="default"/>
          <w:lang w:val="en-US" w:eastAsia="zh-CN"/>
        </w:rPr>
      </w:pPr>
      <w:r>
        <w:rPr>
          <w:rFonts w:hint="eastAsia"/>
          <w:lang w:val="en-US" w:eastAsia="zh-CN"/>
        </w:rPr>
        <w:t>28#楼塔吊西侧为场区围墙，围墙西侧为清华园路，塔吊距离清华园路约20米，人行道上沿庆华路走向有一道高压线，高压线与施工场区有砖砌围墙分隔。28#楼在塔吊东侧，塔吊运行时28#楼范围内运行，大臂不朝向西侧、西北侧、西南侧。塔吊距离地面的安装高度为22.6m，高压线距地面7米-8米。</w:t>
      </w:r>
    </w:p>
    <w:p>
      <w:pPr>
        <w:pStyle w:val="2"/>
        <w:bidi w:val="0"/>
        <w:rPr>
          <w:rFonts w:hint="default"/>
          <w:lang w:val="en-US" w:eastAsia="zh-CN"/>
        </w:rPr>
      </w:pPr>
      <w:bookmarkStart w:id="5" w:name="_Toc3340"/>
      <w:r>
        <w:rPr>
          <w:rFonts w:hint="eastAsia"/>
          <w:lang w:val="en-US" w:eastAsia="zh-CN"/>
        </w:rPr>
        <w:t>2.编制依据</w:t>
      </w:r>
      <w:bookmarkEnd w:id="5"/>
    </w:p>
    <w:p>
      <w:pPr>
        <w:bidi w:val="0"/>
        <w:rPr>
          <w:rFonts w:hint="eastAsia"/>
        </w:rPr>
      </w:pPr>
    </w:p>
    <w:tbl>
      <w:tblPr>
        <w:tblStyle w:val="14"/>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5299"/>
        <w:gridCol w:w="3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shd w:val="clear" w:color="auto" w:fill="B4C6E7" w:themeFill="accent5" w:themeFillTint="66"/>
            <w:vAlign w:val="center"/>
          </w:tcPr>
          <w:p>
            <w:pPr>
              <w:pStyle w:val="20"/>
            </w:pPr>
            <w:r>
              <w:t>序号</w:t>
            </w:r>
          </w:p>
        </w:tc>
        <w:tc>
          <w:tcPr>
            <w:tcW w:w="5299" w:type="dxa"/>
            <w:shd w:val="clear" w:color="auto" w:fill="B4C6E7" w:themeFill="accent5" w:themeFillTint="66"/>
            <w:vAlign w:val="center"/>
          </w:tcPr>
          <w:p>
            <w:pPr>
              <w:pStyle w:val="20"/>
            </w:pPr>
            <w:r>
              <w:t>规范、标准名称</w:t>
            </w:r>
          </w:p>
        </w:tc>
        <w:tc>
          <w:tcPr>
            <w:tcW w:w="3170" w:type="dxa"/>
            <w:shd w:val="clear" w:color="auto" w:fill="B4C6E7" w:themeFill="accent5" w:themeFillTint="66"/>
            <w:vAlign w:val="center"/>
          </w:tcPr>
          <w:p>
            <w:pPr>
              <w:pStyle w:val="20"/>
            </w:pPr>
            <w: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shd w:val="clear" w:color="auto" w:fill="auto"/>
            <w:vAlign w:val="center"/>
          </w:tcPr>
          <w:p>
            <w:pPr>
              <w:pStyle w:val="20"/>
            </w:pPr>
            <w:r>
              <w:t>1</w:t>
            </w:r>
          </w:p>
        </w:tc>
        <w:tc>
          <w:tcPr>
            <w:tcW w:w="5299" w:type="dxa"/>
            <w:shd w:val="clear" w:color="auto" w:fill="auto"/>
            <w:vAlign w:val="center"/>
          </w:tcPr>
          <w:p>
            <w:pPr>
              <w:pStyle w:val="20"/>
              <w:rPr>
                <w:rFonts w:hint="eastAsia" w:eastAsia="宋体" w:asciiTheme="minorAscii" w:hAnsiTheme="minorAscii" w:cstheme="minorBidi"/>
                <w:kern w:val="2"/>
                <w:sz w:val="21"/>
                <w:szCs w:val="24"/>
                <w:lang w:val="en-US" w:eastAsia="zh-CN" w:bidi="ar-SA"/>
              </w:rPr>
            </w:pPr>
            <w:r>
              <w:rPr>
                <w:rFonts w:hint="eastAsia" w:eastAsia="宋体" w:asciiTheme="minorAscii" w:hAnsiTheme="minorAscii" w:cstheme="minorBidi"/>
                <w:kern w:val="2"/>
                <w:sz w:val="21"/>
                <w:szCs w:val="24"/>
                <w:lang w:val="en-US" w:eastAsia="zh-CN" w:bidi="ar-SA"/>
              </w:rPr>
              <w:t>《建筑施工塔式起重机安装、使用、拆卸安全技术规程》</w:t>
            </w:r>
          </w:p>
        </w:tc>
        <w:tc>
          <w:tcPr>
            <w:tcW w:w="3170" w:type="dxa"/>
            <w:shd w:val="clear" w:color="auto" w:fill="auto"/>
            <w:vAlign w:val="center"/>
          </w:tcPr>
          <w:p>
            <w:pPr>
              <w:pStyle w:val="20"/>
              <w:rPr>
                <w:rFonts w:hint="eastAsia" w:eastAsia="宋体" w:asciiTheme="minorAscii" w:hAnsiTheme="minorAscii" w:cstheme="minorBidi"/>
                <w:kern w:val="2"/>
                <w:sz w:val="21"/>
                <w:szCs w:val="24"/>
                <w:lang w:val="en-US" w:eastAsia="zh-CN" w:bidi="ar-SA"/>
              </w:rPr>
            </w:pPr>
            <w:r>
              <w:rPr>
                <w:rFonts w:hint="eastAsia" w:eastAsia="宋体" w:asciiTheme="minorAscii" w:hAnsiTheme="minorAscii" w:cstheme="minorBidi"/>
                <w:kern w:val="2"/>
                <w:sz w:val="21"/>
                <w:szCs w:val="24"/>
                <w:lang w:val="en-US" w:eastAsia="zh-CN" w:bidi="ar-SA"/>
              </w:rPr>
              <w:t>JGJ196-2010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shd w:val="clear" w:color="auto" w:fill="auto"/>
            <w:vAlign w:val="center"/>
          </w:tcPr>
          <w:p>
            <w:pPr>
              <w:pStyle w:val="20"/>
            </w:pPr>
            <w:r>
              <w:t>2</w:t>
            </w:r>
          </w:p>
        </w:tc>
        <w:tc>
          <w:tcPr>
            <w:tcW w:w="5299" w:type="dxa"/>
            <w:shd w:val="clear" w:color="auto" w:fill="auto"/>
            <w:vAlign w:val="center"/>
          </w:tcPr>
          <w:p>
            <w:pPr>
              <w:pStyle w:val="20"/>
              <w:rPr>
                <w:rFonts w:hint="eastAsia" w:eastAsia="宋体" w:asciiTheme="minorAscii" w:hAnsiTheme="minorAscii" w:cstheme="minorBidi"/>
                <w:kern w:val="2"/>
                <w:sz w:val="21"/>
                <w:szCs w:val="24"/>
                <w:lang w:val="en-US" w:eastAsia="zh-CN" w:bidi="ar-SA"/>
              </w:rPr>
            </w:pPr>
            <w:r>
              <w:rPr>
                <w:rFonts w:hint="eastAsia" w:eastAsia="宋体" w:asciiTheme="minorAscii" w:hAnsiTheme="minorAscii" w:cstheme="minorBidi"/>
                <w:kern w:val="2"/>
                <w:sz w:val="21"/>
                <w:szCs w:val="24"/>
                <w:lang w:val="en-US" w:eastAsia="zh-CN" w:bidi="ar-SA"/>
              </w:rPr>
              <w:t>《塔式起重机设计规范》</w:t>
            </w:r>
          </w:p>
        </w:tc>
        <w:tc>
          <w:tcPr>
            <w:tcW w:w="3170" w:type="dxa"/>
            <w:shd w:val="clear" w:color="auto" w:fill="auto"/>
            <w:vAlign w:val="center"/>
          </w:tcPr>
          <w:p>
            <w:pPr>
              <w:pStyle w:val="20"/>
              <w:rPr>
                <w:rFonts w:hint="eastAsia" w:eastAsia="宋体" w:asciiTheme="minorAscii" w:hAnsiTheme="minorAscii" w:cstheme="minorBidi"/>
                <w:kern w:val="2"/>
                <w:sz w:val="21"/>
                <w:szCs w:val="24"/>
                <w:lang w:val="en-US" w:eastAsia="zh-CN" w:bidi="ar-SA"/>
              </w:rPr>
            </w:pPr>
            <w:r>
              <w:rPr>
                <w:rFonts w:hint="eastAsia" w:eastAsia="宋体" w:asciiTheme="minorAscii" w:hAnsiTheme="minorAscii" w:cstheme="minorBidi"/>
                <w:kern w:val="2"/>
                <w:sz w:val="21"/>
                <w:szCs w:val="24"/>
                <w:lang w:val="en-US" w:eastAsia="zh-CN" w:bidi="ar-SA"/>
              </w:rPr>
              <w:t>GB/T13752-2017</w:t>
            </w:r>
          </w:p>
          <w:p>
            <w:pPr>
              <w:pStyle w:val="20"/>
              <w:rPr>
                <w:rFonts w:hint="eastAsia" w:eastAsia="宋体" w:asciiTheme="minorAscii" w:hAnsiTheme="minorAscii"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shd w:val="clear" w:color="auto" w:fill="auto"/>
            <w:vAlign w:val="center"/>
          </w:tcPr>
          <w:p>
            <w:pPr>
              <w:pStyle w:val="20"/>
            </w:pPr>
            <w:r>
              <w:rPr>
                <w:rFonts w:hint="eastAsia"/>
              </w:rPr>
              <w:t>3</w:t>
            </w:r>
          </w:p>
        </w:tc>
        <w:tc>
          <w:tcPr>
            <w:tcW w:w="5299" w:type="dxa"/>
            <w:shd w:val="clear" w:color="auto" w:fill="auto"/>
            <w:vAlign w:val="center"/>
          </w:tcPr>
          <w:p>
            <w:pPr>
              <w:pStyle w:val="20"/>
              <w:rPr>
                <w:rFonts w:hint="eastAsia" w:eastAsia="宋体" w:asciiTheme="minorAscii" w:hAnsiTheme="minorAscii" w:cstheme="minorBidi"/>
                <w:kern w:val="2"/>
                <w:sz w:val="21"/>
                <w:szCs w:val="24"/>
                <w:lang w:val="en-US" w:eastAsia="zh-CN" w:bidi="ar-SA"/>
              </w:rPr>
            </w:pPr>
            <w:r>
              <w:rPr>
                <w:rFonts w:hint="eastAsia" w:eastAsia="宋体" w:asciiTheme="minorAscii" w:hAnsiTheme="minorAscii" w:cstheme="minorBidi"/>
                <w:kern w:val="2"/>
                <w:sz w:val="21"/>
                <w:szCs w:val="24"/>
                <w:lang w:val="en-US" w:eastAsia="zh-CN" w:bidi="ar-SA"/>
              </w:rPr>
              <w:t>《建筑地基基础设计规范》</w:t>
            </w:r>
          </w:p>
        </w:tc>
        <w:tc>
          <w:tcPr>
            <w:tcW w:w="3170" w:type="dxa"/>
            <w:shd w:val="clear" w:color="auto" w:fill="auto"/>
            <w:vAlign w:val="center"/>
          </w:tcPr>
          <w:p>
            <w:pPr>
              <w:pStyle w:val="20"/>
              <w:rPr>
                <w:rFonts w:hint="eastAsia" w:eastAsia="宋体" w:asciiTheme="minorAscii" w:hAnsiTheme="minorAscii" w:cstheme="minorBidi"/>
                <w:kern w:val="2"/>
                <w:sz w:val="21"/>
                <w:szCs w:val="24"/>
                <w:lang w:val="en-US" w:eastAsia="zh-CN" w:bidi="ar-SA"/>
              </w:rPr>
            </w:pPr>
            <w:r>
              <w:rPr>
                <w:rFonts w:hint="eastAsia" w:eastAsia="宋体" w:asciiTheme="minorAscii" w:hAnsiTheme="minorAscii" w:cstheme="minorBidi"/>
                <w:kern w:val="2"/>
                <w:sz w:val="21"/>
                <w:szCs w:val="24"/>
                <w:lang w:val="en-US" w:eastAsia="zh-CN" w:bidi="ar-SA"/>
              </w:rPr>
              <w:t>GB50007－2011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shd w:val="clear" w:color="auto" w:fill="auto"/>
            <w:vAlign w:val="center"/>
          </w:tcPr>
          <w:p>
            <w:pPr>
              <w:pStyle w:val="20"/>
              <w:rPr>
                <w:rFonts w:hint="eastAsia"/>
              </w:rPr>
            </w:pPr>
            <w:r>
              <w:rPr>
                <w:rFonts w:hint="eastAsia"/>
              </w:rPr>
              <w:t>4</w:t>
            </w:r>
          </w:p>
        </w:tc>
        <w:tc>
          <w:tcPr>
            <w:tcW w:w="5299" w:type="dxa"/>
            <w:shd w:val="clear" w:color="auto" w:fill="auto"/>
            <w:vAlign w:val="center"/>
          </w:tcPr>
          <w:p>
            <w:pPr>
              <w:pStyle w:val="20"/>
              <w:rPr>
                <w:rFonts w:hint="eastAsia" w:eastAsia="宋体" w:asciiTheme="minorAscii" w:hAnsiTheme="minorAscii" w:cstheme="minorBidi"/>
                <w:kern w:val="2"/>
                <w:sz w:val="21"/>
                <w:szCs w:val="24"/>
                <w:lang w:val="en-US" w:eastAsia="zh-CN" w:bidi="ar-SA"/>
              </w:rPr>
            </w:pPr>
            <w:r>
              <w:rPr>
                <w:rFonts w:hint="eastAsia" w:eastAsia="宋体" w:asciiTheme="minorAscii" w:hAnsiTheme="minorAscii" w:cstheme="minorBidi"/>
                <w:kern w:val="2"/>
                <w:sz w:val="21"/>
                <w:szCs w:val="24"/>
                <w:lang w:val="en-US" w:eastAsia="zh-CN" w:bidi="ar-SA"/>
              </w:rPr>
              <w:t>《大型塔式起重机混凝土基础工程技术规程》</w:t>
            </w:r>
          </w:p>
        </w:tc>
        <w:tc>
          <w:tcPr>
            <w:tcW w:w="3170" w:type="dxa"/>
            <w:shd w:val="clear" w:color="auto" w:fill="auto"/>
            <w:vAlign w:val="center"/>
          </w:tcPr>
          <w:p>
            <w:pPr>
              <w:pStyle w:val="20"/>
              <w:rPr>
                <w:rFonts w:hint="eastAsia" w:eastAsia="宋体" w:asciiTheme="minorAscii" w:hAnsiTheme="minorAscii" w:cstheme="minorBidi"/>
                <w:kern w:val="2"/>
                <w:sz w:val="21"/>
                <w:szCs w:val="24"/>
                <w:lang w:val="en-US" w:eastAsia="zh-CN" w:bidi="ar-SA"/>
              </w:rPr>
            </w:pPr>
            <w:r>
              <w:rPr>
                <w:rFonts w:hint="eastAsia" w:eastAsia="宋体" w:asciiTheme="minorAscii" w:hAnsiTheme="minorAscii" w:cstheme="minorBidi"/>
                <w:kern w:val="2"/>
                <w:sz w:val="21"/>
                <w:szCs w:val="24"/>
                <w:lang w:val="en-US" w:eastAsia="zh-CN" w:bidi="ar-SA"/>
              </w:rPr>
              <w:t>JGJ/T301-2013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shd w:val="clear" w:color="auto" w:fill="auto"/>
            <w:vAlign w:val="center"/>
          </w:tcPr>
          <w:p>
            <w:pPr>
              <w:pStyle w:val="20"/>
            </w:pPr>
            <w:r>
              <w:rPr>
                <w:rFonts w:hint="eastAsia"/>
              </w:rPr>
              <w:t>5</w:t>
            </w:r>
          </w:p>
        </w:tc>
        <w:tc>
          <w:tcPr>
            <w:tcW w:w="5299" w:type="dxa"/>
            <w:shd w:val="clear" w:color="auto" w:fill="auto"/>
            <w:vAlign w:val="center"/>
          </w:tcPr>
          <w:p>
            <w:pPr>
              <w:pStyle w:val="20"/>
              <w:rPr>
                <w:rFonts w:hint="eastAsia" w:eastAsia="宋体" w:asciiTheme="minorAscii" w:hAnsiTheme="minorAscii" w:cstheme="minorBidi"/>
                <w:kern w:val="2"/>
                <w:sz w:val="21"/>
                <w:szCs w:val="24"/>
                <w:lang w:val="en-US" w:eastAsia="zh-CN" w:bidi="ar-SA"/>
              </w:rPr>
            </w:pPr>
            <w:r>
              <w:rPr>
                <w:rFonts w:hint="eastAsia" w:eastAsia="宋体" w:asciiTheme="minorAscii" w:hAnsiTheme="minorAscii" w:cstheme="minorBidi"/>
                <w:kern w:val="2"/>
                <w:sz w:val="21"/>
                <w:szCs w:val="24"/>
                <w:lang w:val="en-US" w:eastAsia="zh-CN" w:bidi="ar-SA"/>
              </w:rPr>
              <w:t>《塔式起重机混凝土基础工程技术</w:t>
            </w:r>
            <w:r>
              <w:rPr>
                <w:rFonts w:hint="eastAsia" w:cstheme="minorBidi"/>
                <w:kern w:val="2"/>
                <w:sz w:val="21"/>
                <w:szCs w:val="24"/>
                <w:lang w:val="en-US" w:eastAsia="zh-CN" w:bidi="ar-SA"/>
              </w:rPr>
              <w:t>标准</w:t>
            </w:r>
            <w:r>
              <w:rPr>
                <w:rFonts w:hint="eastAsia" w:eastAsia="宋体" w:asciiTheme="minorAscii" w:hAnsiTheme="minorAscii" w:cstheme="minorBidi"/>
                <w:kern w:val="2"/>
                <w:sz w:val="21"/>
                <w:szCs w:val="24"/>
                <w:lang w:val="en-US" w:eastAsia="zh-CN" w:bidi="ar-SA"/>
              </w:rPr>
              <w:t>》</w:t>
            </w:r>
          </w:p>
        </w:tc>
        <w:tc>
          <w:tcPr>
            <w:tcW w:w="3170" w:type="dxa"/>
            <w:shd w:val="clear" w:color="auto" w:fill="auto"/>
            <w:vAlign w:val="center"/>
          </w:tcPr>
          <w:p>
            <w:pPr>
              <w:pStyle w:val="20"/>
              <w:rPr>
                <w:rFonts w:hint="eastAsia" w:eastAsia="宋体" w:asciiTheme="minorAscii" w:hAnsiTheme="minorAscii" w:cstheme="minorBidi"/>
                <w:kern w:val="2"/>
                <w:sz w:val="21"/>
                <w:szCs w:val="24"/>
                <w:lang w:val="en-US" w:eastAsia="zh-CN" w:bidi="ar-SA"/>
              </w:rPr>
            </w:pPr>
            <w:r>
              <w:rPr>
                <w:rFonts w:hint="eastAsia" w:eastAsia="宋体" w:asciiTheme="minorAscii" w:hAnsiTheme="minorAscii" w:cstheme="minorBidi"/>
                <w:kern w:val="2"/>
                <w:sz w:val="21"/>
                <w:szCs w:val="24"/>
                <w:lang w:val="en-US" w:eastAsia="zh-CN" w:bidi="ar-SA"/>
              </w:rPr>
              <w:t>JGJ/T187-2019</w:t>
            </w:r>
          </w:p>
          <w:p>
            <w:pPr>
              <w:pStyle w:val="20"/>
              <w:rPr>
                <w:rFonts w:hint="default" w:eastAsia="宋体" w:asciiTheme="minorAscii" w:hAnsiTheme="minorAscii"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shd w:val="clear" w:color="auto" w:fill="auto"/>
            <w:vAlign w:val="center"/>
          </w:tcPr>
          <w:p>
            <w:pPr>
              <w:pStyle w:val="20"/>
            </w:pPr>
            <w:r>
              <w:rPr>
                <w:rFonts w:hint="eastAsia"/>
              </w:rPr>
              <w:t>6</w:t>
            </w:r>
          </w:p>
        </w:tc>
        <w:tc>
          <w:tcPr>
            <w:tcW w:w="5299" w:type="dxa"/>
            <w:shd w:val="clear" w:color="auto" w:fill="auto"/>
            <w:vAlign w:val="center"/>
          </w:tcPr>
          <w:p>
            <w:pPr>
              <w:pStyle w:val="20"/>
              <w:rPr>
                <w:rFonts w:hint="eastAsia" w:eastAsia="宋体" w:asciiTheme="minorAscii" w:hAnsiTheme="minorAscii" w:cstheme="minorBidi"/>
                <w:kern w:val="2"/>
                <w:sz w:val="21"/>
                <w:szCs w:val="24"/>
                <w:lang w:val="en-US" w:eastAsia="zh-CN" w:bidi="ar-SA"/>
              </w:rPr>
            </w:pPr>
            <w:r>
              <w:rPr>
                <w:rFonts w:hint="eastAsia" w:eastAsia="宋体" w:asciiTheme="minorAscii" w:hAnsiTheme="minorAscii" w:cstheme="minorBidi"/>
                <w:kern w:val="2"/>
                <w:sz w:val="21"/>
                <w:szCs w:val="24"/>
                <w:lang w:val="en-US" w:eastAsia="zh-CN" w:bidi="ar-SA"/>
              </w:rPr>
              <w:t>《混凝土预制拼装塔机基础技术规程》</w:t>
            </w:r>
          </w:p>
        </w:tc>
        <w:tc>
          <w:tcPr>
            <w:tcW w:w="3170" w:type="dxa"/>
            <w:shd w:val="clear" w:color="auto" w:fill="auto"/>
            <w:vAlign w:val="center"/>
          </w:tcPr>
          <w:p>
            <w:pPr>
              <w:pStyle w:val="20"/>
              <w:rPr>
                <w:rFonts w:hint="eastAsia" w:eastAsia="宋体" w:asciiTheme="minorAscii" w:hAnsiTheme="minorAscii" w:cstheme="minorBidi"/>
                <w:kern w:val="2"/>
                <w:sz w:val="21"/>
                <w:szCs w:val="24"/>
                <w:lang w:val="en-US" w:eastAsia="zh-CN" w:bidi="ar-SA"/>
              </w:rPr>
            </w:pPr>
            <w:r>
              <w:rPr>
                <w:rFonts w:hint="eastAsia" w:eastAsia="宋体" w:asciiTheme="minorAscii" w:hAnsiTheme="minorAscii" w:cstheme="minorBidi"/>
                <w:kern w:val="2"/>
                <w:sz w:val="21"/>
                <w:szCs w:val="24"/>
                <w:lang w:val="en-US" w:eastAsia="zh-CN" w:bidi="ar-SA"/>
              </w:rPr>
              <w:t>JGJT197-2010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shd w:val="clear" w:color="auto" w:fill="auto"/>
            <w:vAlign w:val="center"/>
          </w:tcPr>
          <w:p>
            <w:pPr>
              <w:pStyle w:val="20"/>
            </w:pPr>
            <w:r>
              <w:rPr>
                <w:rFonts w:hint="eastAsia"/>
              </w:rPr>
              <w:t>7</w:t>
            </w:r>
          </w:p>
        </w:tc>
        <w:tc>
          <w:tcPr>
            <w:tcW w:w="5299" w:type="dxa"/>
            <w:shd w:val="clear" w:color="auto" w:fill="auto"/>
            <w:vAlign w:val="center"/>
          </w:tcPr>
          <w:p>
            <w:pPr>
              <w:keepNext w:val="0"/>
              <w:keepLines w:val="0"/>
              <w:widowControl/>
              <w:suppressLineNumbers w:val="0"/>
              <w:ind w:left="0" w:leftChars="0" w:firstLine="0" w:firstLineChars="0"/>
              <w:jc w:val="left"/>
              <w:rPr>
                <w:rFonts w:hint="default" w:eastAsia="宋体" w:asciiTheme="minorAscii" w:hAnsiTheme="minorAscii" w:cstheme="minorBidi"/>
                <w:kern w:val="2"/>
                <w:sz w:val="21"/>
                <w:szCs w:val="24"/>
                <w:lang w:val="en-US" w:eastAsia="zh-CN" w:bidi="ar-SA"/>
              </w:rPr>
            </w:pPr>
            <w:r>
              <w:rPr>
                <w:rFonts w:hint="eastAsia" w:eastAsia="宋体" w:asciiTheme="minorAscii" w:hAnsiTheme="minorAscii" w:cstheme="minorBidi"/>
                <w:kern w:val="2"/>
                <w:sz w:val="21"/>
                <w:szCs w:val="24"/>
                <w:lang w:val="en-US" w:eastAsia="zh-CN" w:bidi="ar-SA"/>
              </w:rPr>
              <w:t>S YT 80 (T5710 -6 ) 塔式起重机说明书</w:t>
            </w:r>
          </w:p>
          <w:p>
            <w:pPr>
              <w:keepNext w:val="0"/>
              <w:keepLines w:val="0"/>
              <w:widowControl/>
              <w:suppressLineNumbers w:val="0"/>
              <w:jc w:val="left"/>
              <w:rPr>
                <w:rFonts w:hint="eastAsia" w:eastAsia="宋体" w:asciiTheme="minorAscii" w:hAnsiTheme="minorAscii" w:cstheme="minorBidi"/>
                <w:kern w:val="2"/>
                <w:sz w:val="21"/>
                <w:szCs w:val="24"/>
                <w:lang w:val="en-US" w:eastAsia="zh-CN" w:bidi="ar-SA"/>
              </w:rPr>
            </w:pPr>
            <w:r>
              <w:rPr>
                <w:rFonts w:hint="default" w:eastAsia="宋体" w:asciiTheme="minorAscii" w:hAnsiTheme="minorAscii" w:cstheme="minorBidi"/>
                <w:kern w:val="2"/>
                <w:sz w:val="21"/>
                <w:szCs w:val="24"/>
                <w:lang w:val="en-US" w:eastAsia="zh-CN" w:bidi="ar-SA"/>
              </w:rPr>
              <w:t xml:space="preserve">、 </w:t>
            </w:r>
          </w:p>
          <w:p>
            <w:pPr>
              <w:keepNext w:val="0"/>
              <w:keepLines w:val="0"/>
              <w:widowControl/>
              <w:suppressLineNumbers w:val="0"/>
              <w:jc w:val="left"/>
              <w:rPr>
                <w:rFonts w:hint="eastAsia" w:eastAsia="宋体" w:asciiTheme="minorAscii" w:hAnsiTheme="minorAscii" w:cstheme="minorBidi"/>
                <w:kern w:val="2"/>
                <w:sz w:val="21"/>
                <w:szCs w:val="24"/>
                <w:lang w:val="en-US" w:eastAsia="zh-CN" w:bidi="ar-SA"/>
              </w:rPr>
            </w:pPr>
            <w:r>
              <w:rPr>
                <w:rFonts w:hint="default" w:eastAsia="宋体" w:asciiTheme="minorAscii" w:hAnsiTheme="minorAscii" w:cstheme="minorBidi"/>
                <w:kern w:val="2"/>
                <w:sz w:val="21"/>
                <w:szCs w:val="24"/>
                <w:lang w:val="en-US" w:eastAsia="zh-CN" w:bidi="ar-SA"/>
              </w:rPr>
              <w:t xml:space="preserve">、 </w:t>
            </w:r>
          </w:p>
          <w:p>
            <w:pPr>
              <w:keepNext w:val="0"/>
              <w:keepLines w:val="0"/>
              <w:widowControl/>
              <w:suppressLineNumbers w:val="0"/>
              <w:jc w:val="left"/>
              <w:rPr>
                <w:rFonts w:hint="eastAsia" w:eastAsia="宋体" w:asciiTheme="minorAscii" w:hAnsiTheme="minorAscii" w:cstheme="minorBidi"/>
                <w:kern w:val="2"/>
                <w:sz w:val="21"/>
                <w:szCs w:val="24"/>
                <w:lang w:val="en-US" w:eastAsia="zh-CN" w:bidi="ar-SA"/>
              </w:rPr>
            </w:pPr>
            <w:r>
              <w:rPr>
                <w:rFonts w:hint="default" w:eastAsia="宋体" w:asciiTheme="minorAscii" w:hAnsiTheme="minorAscii" w:cstheme="minorBidi"/>
                <w:kern w:val="2"/>
                <w:sz w:val="21"/>
                <w:szCs w:val="24"/>
                <w:lang w:val="en-US" w:eastAsia="zh-CN" w:bidi="ar-SA"/>
              </w:rPr>
              <w:t xml:space="preserve">、 </w:t>
            </w:r>
          </w:p>
          <w:p>
            <w:pPr>
              <w:keepNext w:val="0"/>
              <w:keepLines w:val="0"/>
              <w:widowControl/>
              <w:suppressLineNumbers w:val="0"/>
              <w:jc w:val="left"/>
              <w:rPr>
                <w:rFonts w:hint="eastAsia" w:eastAsia="宋体" w:asciiTheme="minorAscii" w:hAnsiTheme="minorAscii" w:cstheme="minorBidi"/>
                <w:kern w:val="2"/>
                <w:sz w:val="21"/>
                <w:szCs w:val="24"/>
                <w:lang w:val="en-US" w:eastAsia="zh-CN" w:bidi="ar-SA"/>
              </w:rPr>
            </w:pPr>
            <w:r>
              <w:rPr>
                <w:rFonts w:hint="default" w:eastAsia="宋体" w:asciiTheme="minorAscii" w:hAnsiTheme="minorAscii" w:cstheme="minorBidi"/>
                <w:kern w:val="2"/>
                <w:sz w:val="21"/>
                <w:szCs w:val="24"/>
                <w:lang w:val="en-US" w:eastAsia="zh-CN" w:bidi="ar-SA"/>
              </w:rPr>
              <w:t xml:space="preserve">、 </w:t>
            </w:r>
          </w:p>
          <w:p>
            <w:pPr>
              <w:keepNext w:val="0"/>
              <w:keepLines w:val="0"/>
              <w:widowControl/>
              <w:suppressLineNumbers w:val="0"/>
              <w:jc w:val="left"/>
              <w:rPr>
                <w:rFonts w:hint="eastAsia" w:eastAsia="宋体" w:asciiTheme="minorAscii" w:hAnsiTheme="minorAscii" w:cstheme="minorBidi"/>
                <w:kern w:val="2"/>
                <w:sz w:val="21"/>
                <w:szCs w:val="24"/>
                <w:lang w:val="en-US" w:eastAsia="zh-CN" w:bidi="ar-SA"/>
              </w:rPr>
            </w:pPr>
            <w:r>
              <w:rPr>
                <w:rFonts w:hint="default" w:eastAsia="宋体" w:asciiTheme="minorAscii" w:hAnsiTheme="minorAscii" w:cstheme="minorBidi"/>
                <w:kern w:val="2"/>
                <w:sz w:val="21"/>
                <w:szCs w:val="24"/>
                <w:lang w:val="en-US" w:eastAsia="zh-CN" w:bidi="ar-SA"/>
              </w:rPr>
              <w:t xml:space="preserve">、 </w:t>
            </w:r>
          </w:p>
          <w:p>
            <w:pPr>
              <w:keepNext w:val="0"/>
              <w:keepLines w:val="0"/>
              <w:widowControl/>
              <w:suppressLineNumbers w:val="0"/>
              <w:jc w:val="left"/>
              <w:rPr>
                <w:rFonts w:hint="eastAsia" w:eastAsia="宋体" w:asciiTheme="minorAscii" w:hAnsiTheme="minorAscii" w:cstheme="minorBidi"/>
                <w:kern w:val="2"/>
                <w:sz w:val="21"/>
                <w:szCs w:val="24"/>
                <w:lang w:val="en-US" w:eastAsia="zh-CN" w:bidi="ar-SA"/>
              </w:rPr>
            </w:pPr>
            <w:r>
              <w:rPr>
                <w:rFonts w:hint="default" w:eastAsia="宋体" w:asciiTheme="minorAscii" w:hAnsiTheme="minorAscii" w:cstheme="minorBidi"/>
                <w:kern w:val="2"/>
                <w:sz w:val="21"/>
                <w:szCs w:val="24"/>
                <w:lang w:val="en-US" w:eastAsia="zh-CN" w:bidi="ar-SA"/>
              </w:rPr>
              <w:t xml:space="preserve">57 10 </w:t>
            </w:r>
          </w:p>
          <w:p>
            <w:pPr>
              <w:keepNext w:val="0"/>
              <w:keepLines w:val="0"/>
              <w:widowControl/>
              <w:suppressLineNumbers w:val="0"/>
              <w:jc w:val="left"/>
              <w:rPr>
                <w:rFonts w:hint="eastAsia" w:eastAsia="宋体" w:asciiTheme="minorAscii" w:hAnsiTheme="minorAscii" w:cstheme="minorBidi"/>
                <w:kern w:val="2"/>
                <w:sz w:val="21"/>
                <w:szCs w:val="24"/>
                <w:lang w:val="en-US" w:eastAsia="zh-CN" w:bidi="ar-SA"/>
              </w:rPr>
            </w:pPr>
            <w:r>
              <w:rPr>
                <w:rFonts w:hint="default" w:eastAsia="宋体" w:asciiTheme="minorAscii" w:hAnsiTheme="minorAscii" w:cstheme="minorBidi"/>
                <w:kern w:val="2"/>
                <w:sz w:val="21"/>
                <w:szCs w:val="24"/>
                <w:lang w:val="en-US" w:eastAsia="zh-CN" w:bidi="ar-SA"/>
              </w:rPr>
              <w:t>塔 式 起 重 机</w:t>
            </w:r>
          </w:p>
          <w:p>
            <w:pPr>
              <w:pStyle w:val="20"/>
              <w:rPr>
                <w:rFonts w:hint="eastAsia" w:eastAsia="宋体" w:asciiTheme="minorAscii" w:hAnsiTheme="minorAscii" w:cstheme="minorBidi"/>
                <w:kern w:val="2"/>
                <w:sz w:val="21"/>
                <w:szCs w:val="24"/>
                <w:lang w:val="en-US" w:eastAsia="zh-CN" w:bidi="ar-SA"/>
              </w:rPr>
            </w:pPr>
          </w:p>
        </w:tc>
        <w:tc>
          <w:tcPr>
            <w:tcW w:w="3170" w:type="dxa"/>
            <w:shd w:val="clear" w:color="auto" w:fill="auto"/>
            <w:vAlign w:val="center"/>
          </w:tcPr>
          <w:p>
            <w:pPr>
              <w:pStyle w:val="20"/>
              <w:rPr>
                <w:rFonts w:hint="eastAsia" w:eastAsia="宋体" w:asciiTheme="minorAscii" w:hAnsiTheme="minorAscii" w:cstheme="minorBidi"/>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shd w:val="clear" w:color="auto" w:fill="auto"/>
            <w:vAlign w:val="center"/>
          </w:tcPr>
          <w:p>
            <w:pPr>
              <w:pStyle w:val="20"/>
            </w:pPr>
            <w:r>
              <w:rPr>
                <w:rFonts w:hint="eastAsia"/>
              </w:rPr>
              <w:t>8</w:t>
            </w:r>
          </w:p>
        </w:tc>
        <w:tc>
          <w:tcPr>
            <w:tcW w:w="5299" w:type="dxa"/>
            <w:shd w:val="clear" w:color="auto" w:fill="auto"/>
            <w:vAlign w:val="center"/>
          </w:tcPr>
          <w:p>
            <w:pPr>
              <w:pStyle w:val="20"/>
              <w:rPr>
                <w:rFonts w:hint="default" w:eastAsia="宋体"/>
                <w:lang w:val="en-US" w:eastAsia="zh-CN"/>
              </w:rPr>
            </w:pPr>
            <w:r>
              <w:rPr>
                <w:rFonts w:hint="eastAsia" w:eastAsia="宋体"/>
                <w:lang w:val="en-US" w:eastAsia="zh-CN"/>
              </w:rPr>
              <w:t>云萃苑施工图</w:t>
            </w:r>
          </w:p>
        </w:tc>
        <w:tc>
          <w:tcPr>
            <w:tcW w:w="3170" w:type="dxa"/>
            <w:shd w:val="clear" w:color="auto" w:fill="auto"/>
            <w:vAlign w:val="center"/>
          </w:tcPr>
          <w:p>
            <w:pPr>
              <w:pStyle w:val="20"/>
              <w:rPr>
                <w:rFonts w:hint="eastAsia"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shd w:val="clear" w:color="auto" w:fill="auto"/>
            <w:vAlign w:val="center"/>
          </w:tcPr>
          <w:p>
            <w:pPr>
              <w:pStyle w:val="20"/>
              <w:rPr>
                <w:rFonts w:hint="eastAsia" w:eastAsia="宋体"/>
                <w:lang w:val="en-US" w:eastAsia="zh-CN"/>
              </w:rPr>
            </w:pPr>
            <w:r>
              <w:rPr>
                <w:rFonts w:hint="eastAsia" w:eastAsia="宋体"/>
                <w:lang w:val="en-US" w:eastAsia="zh-CN"/>
              </w:rPr>
              <w:t>9</w:t>
            </w:r>
          </w:p>
        </w:tc>
        <w:tc>
          <w:tcPr>
            <w:tcW w:w="5299" w:type="dxa"/>
            <w:shd w:val="clear" w:color="auto" w:fill="auto"/>
            <w:vAlign w:val="center"/>
          </w:tcPr>
          <w:p>
            <w:pPr>
              <w:pStyle w:val="20"/>
              <w:rPr>
                <w:rFonts w:hint="eastAsia" w:eastAsia="宋体"/>
                <w:lang w:val="en-US" w:eastAsia="zh-CN"/>
              </w:rPr>
            </w:pPr>
            <w:r>
              <w:rPr>
                <w:rFonts w:hint="eastAsia" w:eastAsia="宋体"/>
                <w:lang w:val="en-US" w:eastAsia="zh-CN"/>
              </w:rPr>
              <w:t>万世基塔吊基础安装说明书</w:t>
            </w:r>
          </w:p>
        </w:tc>
        <w:tc>
          <w:tcPr>
            <w:tcW w:w="3170" w:type="dxa"/>
            <w:shd w:val="clear" w:color="auto" w:fill="auto"/>
            <w:vAlign w:val="center"/>
          </w:tcPr>
          <w:p>
            <w:pPr>
              <w:pStyle w:val="20"/>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17" w:type="dxa"/>
            <w:shd w:val="clear" w:color="auto" w:fill="auto"/>
            <w:vAlign w:val="center"/>
          </w:tcPr>
          <w:p>
            <w:pPr>
              <w:pStyle w:val="20"/>
              <w:rPr>
                <w:rFonts w:hint="default" w:eastAsia="宋体"/>
                <w:lang w:val="en-US" w:eastAsia="zh-CN"/>
              </w:rPr>
            </w:pPr>
            <w:bookmarkStart w:id="6" w:name="_Toc23576"/>
            <w:bookmarkStart w:id="7" w:name="_Toc455738227"/>
            <w:bookmarkStart w:id="8" w:name="_Toc279396254"/>
            <w:bookmarkStart w:id="9" w:name="_Toc448321615"/>
            <w:r>
              <w:rPr>
                <w:rFonts w:hint="eastAsia" w:eastAsia="宋体"/>
                <w:lang w:val="en-US" w:eastAsia="zh-CN"/>
              </w:rPr>
              <w:t>10</w:t>
            </w:r>
          </w:p>
        </w:tc>
        <w:tc>
          <w:tcPr>
            <w:tcW w:w="5299" w:type="dxa"/>
            <w:shd w:val="clear" w:color="auto" w:fill="auto"/>
            <w:vAlign w:val="center"/>
          </w:tcPr>
          <w:p>
            <w:pPr>
              <w:pStyle w:val="20"/>
              <w:rPr>
                <w:rFonts w:hint="default" w:eastAsia="宋体"/>
                <w:lang w:val="en-US" w:eastAsia="zh-CN"/>
              </w:rPr>
            </w:pPr>
            <w:r>
              <w:rPr>
                <w:rFonts w:hint="eastAsia" w:eastAsia="宋体"/>
                <w:lang w:val="en-US" w:eastAsia="zh-CN"/>
              </w:rPr>
              <w:t>地勘报告</w:t>
            </w:r>
          </w:p>
        </w:tc>
        <w:tc>
          <w:tcPr>
            <w:tcW w:w="3170" w:type="dxa"/>
            <w:shd w:val="clear" w:color="auto" w:fill="auto"/>
            <w:vAlign w:val="center"/>
          </w:tcPr>
          <w:p>
            <w:pPr>
              <w:pStyle w:val="20"/>
              <w:rPr>
                <w:rFonts w:hint="default" w:eastAsia="宋体"/>
                <w:lang w:val="en-US" w:eastAsia="zh-CN"/>
              </w:rPr>
            </w:pPr>
          </w:p>
        </w:tc>
      </w:tr>
      <w:bookmarkEnd w:id="6"/>
      <w:bookmarkEnd w:id="7"/>
      <w:bookmarkEnd w:id="8"/>
      <w:bookmarkEnd w:id="9"/>
    </w:tbl>
    <w:p>
      <w:pPr>
        <w:pStyle w:val="2"/>
        <w:bidi w:val="0"/>
        <w:rPr>
          <w:rFonts w:hint="default"/>
          <w:lang w:val="en-US" w:eastAsia="zh-CN"/>
        </w:rPr>
      </w:pPr>
      <w:bookmarkStart w:id="10" w:name="_Toc17040"/>
      <w:bookmarkStart w:id="11" w:name="_Toc20222"/>
      <w:bookmarkStart w:id="12" w:name="_Toc32682"/>
      <w:r>
        <w:rPr>
          <w:rFonts w:hint="eastAsia"/>
          <w:lang w:val="en-US" w:eastAsia="zh-CN"/>
        </w:rPr>
        <w:t>3.塔吊基础定位</w:t>
      </w:r>
      <w:bookmarkEnd w:id="10"/>
    </w:p>
    <w:p>
      <w:pPr>
        <w:pStyle w:val="19"/>
        <w:rPr>
          <w:rFonts w:hint="eastAsia"/>
        </w:rPr>
      </w:pPr>
    </w:p>
    <w:bookmarkEnd w:id="11"/>
    <w:bookmarkEnd w:id="12"/>
    <w:p>
      <w:pPr>
        <w:pStyle w:val="3"/>
        <w:bidi w:val="0"/>
        <w:rPr>
          <w:rFonts w:hint="eastAsia"/>
          <w:lang w:val="en-US" w:eastAsia="zh-CN"/>
        </w:rPr>
      </w:pPr>
      <w:bookmarkStart w:id="13" w:name="_Toc13080"/>
      <w:r>
        <w:rPr>
          <w:rFonts w:hint="eastAsia"/>
          <w:lang w:val="en-US" w:eastAsia="zh-CN"/>
        </w:rPr>
        <w:t>3.1塔吊基础定位</w:t>
      </w:r>
      <w:bookmarkEnd w:id="13"/>
    </w:p>
    <w:p>
      <w:pPr>
        <w:bidi w:val="0"/>
        <w:rPr>
          <w:rFonts w:hint="eastAsia"/>
        </w:rPr>
      </w:pPr>
      <w:r>
        <w:rPr>
          <w:rFonts w:hint="eastAsia"/>
        </w:rPr>
        <w:t>综合考虑各种因素，我部将采用一台QTZ</w:t>
      </w:r>
      <w:r>
        <w:rPr>
          <w:rFonts w:hint="eastAsia"/>
          <w:lang w:val="en-US" w:eastAsia="zh-CN"/>
        </w:rPr>
        <w:t>80</w:t>
      </w:r>
      <w:r>
        <w:rPr>
          <w:rFonts w:hint="eastAsia"/>
        </w:rPr>
        <w:t>(5</w:t>
      </w:r>
      <w:r>
        <w:rPr>
          <w:rFonts w:hint="eastAsia"/>
          <w:lang w:val="en-US" w:eastAsia="zh-CN"/>
        </w:rPr>
        <w:t>7</w:t>
      </w:r>
      <w:r>
        <w:rPr>
          <w:rFonts w:hint="eastAsia"/>
        </w:rPr>
        <w:t>10Z-6)</w:t>
      </w:r>
      <w:r>
        <w:rPr>
          <w:rFonts w:hint="eastAsia"/>
          <w:lang w:eastAsia="zh-CN"/>
        </w:rPr>
        <w:t>（</w:t>
      </w:r>
      <w:r>
        <w:rPr>
          <w:rFonts w:hint="eastAsia"/>
          <w:lang w:val="en-US" w:eastAsia="zh-CN"/>
        </w:rPr>
        <w:t>厂家编号为SYT80</w:t>
      </w:r>
      <w:r>
        <w:rPr>
          <w:rFonts w:hint="eastAsia"/>
          <w:lang w:eastAsia="zh-CN"/>
        </w:rPr>
        <w:t>）</w:t>
      </w:r>
      <w:r>
        <w:rPr>
          <w:rFonts w:hint="eastAsia"/>
        </w:rPr>
        <w:t>型号塔吊，具体定位如下图：</w:t>
      </w:r>
    </w:p>
    <w:p>
      <w:pPr>
        <w:bidi w:val="0"/>
        <w:rPr>
          <w:rFonts w:hint="eastAsia"/>
        </w:rPr>
      </w:pPr>
    </w:p>
    <w:p>
      <w:r>
        <w:drawing>
          <wp:inline distT="0" distB="0" distL="114300" distR="114300">
            <wp:extent cx="3980180" cy="4225925"/>
            <wp:effectExtent l="0" t="0" r="0" b="1079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9"/>
                    <a:stretch>
                      <a:fillRect/>
                    </a:stretch>
                  </pic:blipFill>
                  <pic:spPr>
                    <a:xfrm>
                      <a:off x="0" y="0"/>
                      <a:ext cx="3980180" cy="4225925"/>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塔吊基础的地质情况：</w:t>
      </w:r>
    </w:p>
    <w:tbl>
      <w:tblPr>
        <w:tblStyle w:val="15"/>
        <w:tblW w:w="8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5"/>
        <w:gridCol w:w="5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875" w:type="dxa"/>
            <w:vAlign w:val="top"/>
          </w:tcPr>
          <w:p>
            <w:pPr>
              <w:pStyle w:val="20"/>
              <w:bidi w:val="0"/>
              <w:rPr>
                <w:rFonts w:hint="eastAsia"/>
                <w:lang w:eastAsia="zh-CN"/>
              </w:rPr>
            </w:pPr>
            <w:r>
              <w:rPr>
                <w:rFonts w:hint="eastAsia"/>
                <w:lang w:eastAsia="zh-CN"/>
              </w:rPr>
              <w:t>项目</w:t>
            </w:r>
          </w:p>
        </w:tc>
        <w:tc>
          <w:tcPr>
            <w:tcW w:w="5184" w:type="dxa"/>
            <w:vAlign w:val="top"/>
          </w:tcPr>
          <w:p>
            <w:pPr>
              <w:pStyle w:val="20"/>
              <w:bidi w:val="0"/>
              <w:rPr>
                <w:rFonts w:hint="eastAsia"/>
                <w:lang w:val="en-US" w:eastAsia="zh-CN"/>
              </w:rPr>
            </w:pPr>
            <w:r>
              <w:rPr>
                <w:rFonts w:hint="eastAsia"/>
                <w:lang w:val="en-US" w:eastAsia="zh-CN"/>
              </w:rPr>
              <w:t>28#楼塔吊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875" w:type="dxa"/>
            <w:vAlign w:val="top"/>
          </w:tcPr>
          <w:p>
            <w:pPr>
              <w:pStyle w:val="20"/>
              <w:bidi w:val="0"/>
              <w:rPr>
                <w:rFonts w:hint="eastAsia"/>
                <w:lang w:eastAsia="zh-CN"/>
              </w:rPr>
            </w:pPr>
            <w:r>
              <w:rPr>
                <w:rFonts w:hint="eastAsia"/>
                <w:lang w:eastAsia="zh-CN"/>
              </w:rPr>
              <w:t>基础位置</w:t>
            </w:r>
          </w:p>
        </w:tc>
        <w:tc>
          <w:tcPr>
            <w:tcW w:w="5184" w:type="dxa"/>
            <w:vAlign w:val="top"/>
          </w:tcPr>
          <w:p>
            <w:pPr>
              <w:pStyle w:val="20"/>
              <w:bidi w:val="0"/>
              <w:rPr>
                <w:rFonts w:hint="default"/>
                <w:lang w:val="en-US" w:eastAsia="zh-CN"/>
              </w:rPr>
            </w:pPr>
            <w:r>
              <w:rPr>
                <w:rFonts w:hint="eastAsia"/>
                <w:lang w:val="en-US" w:eastAsia="zh-CN"/>
              </w:rPr>
              <w:t>28#楼西侧边墙外扩9m为塔吊中心，塔吊基础与西墙间距5m。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875" w:type="dxa"/>
            <w:vAlign w:val="center"/>
          </w:tcPr>
          <w:p>
            <w:pPr>
              <w:pStyle w:val="20"/>
              <w:bidi w:val="0"/>
              <w:rPr>
                <w:rFonts w:hint="eastAsia"/>
              </w:rPr>
            </w:pPr>
            <w:r>
              <w:rPr>
                <w:rFonts w:hint="eastAsia"/>
              </w:rPr>
              <w:t>勘探孔号</w:t>
            </w:r>
          </w:p>
        </w:tc>
        <w:tc>
          <w:tcPr>
            <w:tcW w:w="5184" w:type="dxa"/>
            <w:vAlign w:val="top"/>
          </w:tcPr>
          <w:p>
            <w:pPr>
              <w:pStyle w:val="20"/>
              <w:bidi w:val="0"/>
              <w:rPr>
                <w:rFonts w:hint="default"/>
                <w:lang w:val="en-US" w:eastAsia="zh-CN"/>
              </w:rPr>
            </w:pPr>
            <w:r>
              <w:rPr>
                <w:rFonts w:hint="eastAsia"/>
                <w:lang w:val="en-US" w:eastAsia="zh-CN"/>
              </w:rPr>
              <w:t>根据地勘报告，与114号探孔较近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875" w:type="dxa"/>
            <w:vAlign w:val="center"/>
          </w:tcPr>
          <w:p>
            <w:pPr>
              <w:pStyle w:val="20"/>
              <w:bidi w:val="0"/>
              <w:rPr>
                <w:rFonts w:hint="eastAsia"/>
              </w:rPr>
            </w:pPr>
            <w:r>
              <w:rPr>
                <w:rFonts w:hint="eastAsia"/>
              </w:rPr>
              <w:t>基础底绝对标高（m）</w:t>
            </w:r>
          </w:p>
        </w:tc>
        <w:tc>
          <w:tcPr>
            <w:tcW w:w="5184" w:type="dxa"/>
            <w:vAlign w:val="top"/>
          </w:tcPr>
          <w:p>
            <w:pPr>
              <w:pStyle w:val="20"/>
              <w:bidi w:val="0"/>
              <w:rPr>
                <w:rFonts w:hint="default"/>
                <w:lang w:val="en-US" w:eastAsia="zh-CN"/>
              </w:rPr>
            </w:pPr>
            <w:r>
              <w:rPr>
                <w:rFonts w:hint="eastAsia"/>
                <w:lang w:val="en-US" w:eastAsia="zh-CN"/>
              </w:rPr>
              <w:t>根据地勘报告，114号探孔</w:t>
            </w:r>
            <w:r>
              <w:rPr>
                <w:rFonts w:hint="eastAsia"/>
              </w:rPr>
              <w:t>第①层</w:t>
            </w:r>
            <w:r>
              <w:rPr>
                <w:rFonts w:hint="eastAsia"/>
                <w:lang w:val="en-US" w:eastAsia="zh-CN"/>
              </w:rPr>
              <w:t>杂填土为自然地坪下0.6m，现场以自然地坪下挖深0.8m。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875" w:type="dxa"/>
            <w:vAlign w:val="center"/>
          </w:tcPr>
          <w:p>
            <w:pPr>
              <w:pStyle w:val="20"/>
              <w:bidi w:val="0"/>
              <w:rPr>
                <w:rFonts w:hint="eastAsia"/>
              </w:rPr>
            </w:pPr>
            <w:r>
              <w:rPr>
                <w:rFonts w:hint="eastAsia"/>
              </w:rPr>
              <w:t>地基土层</w:t>
            </w:r>
          </w:p>
        </w:tc>
        <w:tc>
          <w:tcPr>
            <w:tcW w:w="5184" w:type="dxa"/>
            <w:vAlign w:val="top"/>
          </w:tcPr>
          <w:p>
            <w:pPr>
              <w:pStyle w:val="20"/>
              <w:bidi w:val="0"/>
              <w:rPr>
                <w:rFonts w:hint="eastAsia"/>
                <w:lang w:eastAsia="zh-CN"/>
              </w:rPr>
            </w:pPr>
            <w:r>
              <w:rPr>
                <w:rFonts w:hint="eastAsia"/>
                <w:lang w:val="en-US" w:eastAsia="zh-CN"/>
              </w:rPr>
              <w:t>第</w:t>
            </w:r>
            <w:r>
              <w:rPr>
                <w:rFonts w:hint="eastAsia"/>
                <w:lang w:val="zh-CN"/>
              </w:rPr>
              <w:t>②粉土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875" w:type="dxa"/>
            <w:vAlign w:val="center"/>
          </w:tcPr>
          <w:p>
            <w:pPr>
              <w:pStyle w:val="20"/>
              <w:bidi w:val="0"/>
              <w:rPr>
                <w:rFonts w:hint="eastAsia"/>
              </w:rPr>
            </w:pPr>
            <w:r>
              <w:rPr>
                <w:rFonts w:hint="eastAsia"/>
              </w:rPr>
              <w:t>地基承载力标准值(K</w:t>
            </w:r>
            <w:r>
              <w:t>p</w:t>
            </w:r>
            <w:r>
              <w:rPr>
                <w:rFonts w:hint="eastAsia"/>
              </w:rPr>
              <w:t>a)</w:t>
            </w:r>
          </w:p>
        </w:tc>
        <w:tc>
          <w:tcPr>
            <w:tcW w:w="5184" w:type="dxa"/>
            <w:vAlign w:val="top"/>
          </w:tcPr>
          <w:p>
            <w:pPr>
              <w:pStyle w:val="20"/>
              <w:bidi w:val="0"/>
              <w:rPr>
                <w:rFonts w:hint="default"/>
                <w:lang w:val="en-US" w:eastAsia="zh-CN"/>
              </w:rPr>
            </w:pPr>
            <w:r>
              <w:rPr>
                <w:rFonts w:hint="eastAsia"/>
                <w:lang w:val="en-US" w:eastAsia="zh-CN"/>
              </w:rPr>
              <w:t>140</w:t>
            </w:r>
          </w:p>
        </w:tc>
      </w:tr>
    </w:tbl>
    <w:p>
      <w:pPr>
        <w:pStyle w:val="18"/>
      </w:pPr>
    </w:p>
    <w:p>
      <w:pPr>
        <w:ind w:left="0" w:leftChars="0" w:firstLine="0" w:firstLineChars="0"/>
        <w:rPr>
          <w:rFonts w:hint="eastAsia"/>
          <w:lang w:val="en-US" w:eastAsia="zh-CN"/>
        </w:rPr>
      </w:pPr>
      <w:r>
        <w:rPr>
          <w:rFonts w:hint="eastAsia"/>
          <w:lang w:val="en-US" w:eastAsia="zh-CN"/>
        </w:rPr>
        <w:drawing>
          <wp:inline distT="0" distB="0" distL="114300" distR="114300">
            <wp:extent cx="2990850" cy="2596515"/>
            <wp:effectExtent l="0" t="0" r="11430" b="9525"/>
            <wp:docPr id="13" name="图片 13" descr="169375104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3751047481"/>
                    <pic:cNvPicPr>
                      <a:picLocks noChangeAspect="1"/>
                    </pic:cNvPicPr>
                  </pic:nvPicPr>
                  <pic:blipFill>
                    <a:blip r:embed="rId10"/>
                    <a:stretch>
                      <a:fillRect/>
                    </a:stretch>
                  </pic:blipFill>
                  <pic:spPr>
                    <a:xfrm>
                      <a:off x="0" y="0"/>
                      <a:ext cx="2990850" cy="2596515"/>
                    </a:xfrm>
                    <a:prstGeom prst="rect">
                      <a:avLst/>
                    </a:prstGeom>
                  </pic:spPr>
                </pic:pic>
              </a:graphicData>
            </a:graphic>
          </wp:inline>
        </w:drawing>
      </w:r>
      <w:r>
        <w:rPr>
          <w:rFonts w:hint="eastAsia"/>
          <w:lang w:val="en-US" w:eastAsia="zh-CN"/>
        </w:rPr>
        <w:drawing>
          <wp:inline distT="0" distB="0" distL="114300" distR="114300">
            <wp:extent cx="1958340" cy="2598420"/>
            <wp:effectExtent l="0" t="0" r="7620" b="7620"/>
            <wp:docPr id="15" name="图片 15" descr="169375109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93751096723"/>
                    <pic:cNvPicPr>
                      <a:picLocks noChangeAspect="1"/>
                    </pic:cNvPicPr>
                  </pic:nvPicPr>
                  <pic:blipFill>
                    <a:blip r:embed="rId11"/>
                    <a:stretch>
                      <a:fillRect/>
                    </a:stretch>
                  </pic:blipFill>
                  <pic:spPr>
                    <a:xfrm>
                      <a:off x="0" y="0"/>
                      <a:ext cx="1958340" cy="2598420"/>
                    </a:xfrm>
                    <a:prstGeom prst="rect">
                      <a:avLst/>
                    </a:prstGeom>
                  </pic:spPr>
                </pic:pic>
              </a:graphicData>
            </a:graphic>
          </wp:inline>
        </w:drawing>
      </w:r>
    </w:p>
    <w:p>
      <w:pPr>
        <w:rPr>
          <w:rFonts w:hint="eastAsia"/>
          <w:lang w:val="en-US" w:eastAsia="zh-CN"/>
        </w:rPr>
      </w:pPr>
      <w:r>
        <w:rPr>
          <w:rFonts w:hint="eastAsia"/>
          <w:lang w:val="en-US" w:eastAsia="zh-CN"/>
        </w:rPr>
        <w:t>覆盖范围见下图：</w:t>
      </w:r>
    </w:p>
    <w:p>
      <w:pPr>
        <w:pStyle w:val="18"/>
        <w:rPr>
          <w:rFonts w:hint="eastAsia"/>
          <w:lang w:val="en-US" w:eastAsia="zh-CN"/>
        </w:rPr>
      </w:pPr>
      <w:r>
        <w:rPr>
          <w:rFonts w:hint="eastAsia"/>
          <w:lang w:val="en-US" w:eastAsia="zh-CN"/>
        </w:rPr>
        <w:t>可从图中得知28#楼塔吊不能全部覆盖28#楼的东侧区域，且17#楼塔吊塔身在其大臂覆盖范围内，与16#楼塔吊的大臂覆盖范围存在重叠区域；因此17#楼塔吊安装前应拆除28#楼塔吊。</w:t>
      </w:r>
    </w:p>
    <w:p>
      <w:pPr>
        <w:pStyle w:val="7"/>
        <w:rPr>
          <w:rFonts w:hint="default"/>
          <w:lang w:val="en-US" w:eastAsia="zh-CN"/>
        </w:rPr>
      </w:pPr>
      <w:r>
        <w:rPr>
          <w:rFonts w:hint="eastAsia"/>
          <w:lang w:val="en-US" w:eastAsia="zh-CN"/>
        </w:rPr>
        <w:t>28#楼塔吊使用时间约为30天，为28#楼主体施工提供垂直运输，在17#楼塔吊安装前至少1天拆除完成。考虑到塔吊使用周期短，塔吊基础不能影响该区域的雨污水管网，因此综合考虑，该塔吊基础采用预制钢筋砼基础。</w:t>
      </w:r>
    </w:p>
    <w:p>
      <w:pPr>
        <w:ind w:left="0" w:leftChars="0" w:firstLine="0" w:firstLineChars="0"/>
      </w:pPr>
      <w:r>
        <w:rPr>
          <w:sz w:val="24"/>
        </w:rPr>
        <mc:AlternateContent>
          <mc:Choice Requires="wps">
            <w:drawing>
              <wp:anchor distT="0" distB="0" distL="114300" distR="114300" simplePos="0" relativeHeight="251660288" behindDoc="0" locked="0" layoutInCell="1" allowOverlap="1">
                <wp:simplePos x="0" y="0"/>
                <wp:positionH relativeFrom="column">
                  <wp:posOffset>1846580</wp:posOffset>
                </wp:positionH>
                <wp:positionV relativeFrom="paragraph">
                  <wp:posOffset>2489835</wp:posOffset>
                </wp:positionV>
                <wp:extent cx="422910" cy="186690"/>
                <wp:effectExtent l="6350" t="6350" r="12700" b="20320"/>
                <wp:wrapNone/>
                <wp:docPr id="8" name="矩形 8"/>
                <wp:cNvGraphicFramePr/>
                <a:graphic xmlns:a="http://schemas.openxmlformats.org/drawingml/2006/main">
                  <a:graphicData uri="http://schemas.microsoft.com/office/word/2010/wordprocessingShape">
                    <wps:wsp>
                      <wps:cNvSpPr/>
                      <wps:spPr>
                        <a:xfrm>
                          <a:off x="0" y="0"/>
                          <a:ext cx="422910" cy="186690"/>
                        </a:xfrm>
                        <a:prstGeom prst="rect">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spacing w:line="240" w:lineRule="auto"/>
                              <w:ind w:firstLine="0" w:firstLineChars="0"/>
                              <w:jc w:val="center"/>
                              <w:rPr>
                                <w:rFonts w:hint="default" w:eastAsia="宋体"/>
                                <w:b/>
                                <w:bCs/>
                                <w:lang w:val="en-US" w:eastAsia="zh-CN"/>
                              </w:rPr>
                            </w:pPr>
                            <w:r>
                              <w:rPr>
                                <w:rFonts w:hint="eastAsia"/>
                                <w:b/>
                                <w:bCs/>
                                <w:color w:val="FF0000"/>
                                <w:lang w:val="en-US" w:eastAsia="zh-CN"/>
                              </w:rPr>
                              <w:t>17#</w:t>
                            </w:r>
                          </w:p>
                        </w:txbxContent>
                      </wps:txbx>
                      <wps:bodyPr rot="0" spcFirstLastPara="0" vertOverflow="overflow" horzOverflow="overflow" vert="horz" wrap="square" lIns="0" tIns="0" rIns="0" bIns="0" numCol="1" spcCol="0" rtlCol="0" fromWordArt="0" anchor="ctr" anchorCtr="0" forceAA="0" compatLnSpc="1">
                        <a:spAutoFit/>
                      </wps:bodyPr>
                    </wps:wsp>
                  </a:graphicData>
                </a:graphic>
              </wp:anchor>
            </w:drawing>
          </mc:Choice>
          <mc:Fallback>
            <w:pict>
              <v:rect id="_x0000_s1026" o:spid="_x0000_s1026" o:spt="1" style="position:absolute;left:0pt;margin-left:145.4pt;margin-top:196.05pt;height:14.7pt;width:33.3pt;z-index:251660288;v-text-anchor:middle;mso-width-relative:page;mso-height-relative:page;" fillcolor="#FFFF00" filled="t" stroked="t" coordsize="21600,21600" o:gfxdata="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4EwPXaAAAACwEAAA8AAAAAAAAAAQAgAAAAIgAAAGRycy9kb3ducmV2LnhtbFBL&#10;AQIUABQAAAAIAIdO4kCxDQDHZgIAAO4EAAAOAAAAAAAAAAEAIAAAACkBAABkcnMvZTJvRG9jLnht&#10;bFBLBQYAAAAABgAGAFkBAAABBgAAAAA=&#10;">
                <v:fill on="t" focussize="0,0"/>
                <v:stroke weight="1pt" color="#FFFF00 [2404]" miterlimit="8" joinstyle="miter"/>
                <v:imagedata o:title=""/>
                <o:lock v:ext="edit" aspectratio="f"/>
                <v:textbox inset="0mm,0mm,0mm,0mm" style="mso-fit-shape-to-text:t;">
                  <w:txbxContent>
                    <w:p>
                      <w:pPr>
                        <w:spacing w:line="240" w:lineRule="auto"/>
                        <w:ind w:firstLine="0" w:firstLineChars="0"/>
                        <w:jc w:val="center"/>
                        <w:rPr>
                          <w:rFonts w:hint="default" w:eastAsia="宋体"/>
                          <w:b/>
                          <w:bCs/>
                          <w:lang w:val="en-US" w:eastAsia="zh-CN"/>
                        </w:rPr>
                      </w:pPr>
                      <w:r>
                        <w:rPr>
                          <w:rFonts w:hint="eastAsia"/>
                          <w:b/>
                          <w:bCs/>
                          <w:color w:val="FF0000"/>
                          <w:lang w:val="en-US" w:eastAsia="zh-CN"/>
                        </w:rPr>
                        <w:t>17#</w:t>
                      </w:r>
                    </w:p>
                  </w:txbxContent>
                </v:textbox>
              </v:rect>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3368675</wp:posOffset>
                </wp:positionH>
                <wp:positionV relativeFrom="paragraph">
                  <wp:posOffset>1882140</wp:posOffset>
                </wp:positionV>
                <wp:extent cx="422910" cy="186690"/>
                <wp:effectExtent l="6350" t="6350" r="12700" b="20320"/>
                <wp:wrapNone/>
                <wp:docPr id="12" name="矩形 12"/>
                <wp:cNvGraphicFramePr/>
                <a:graphic xmlns:a="http://schemas.openxmlformats.org/drawingml/2006/main">
                  <a:graphicData uri="http://schemas.microsoft.com/office/word/2010/wordprocessingShape">
                    <wps:wsp>
                      <wps:cNvSpPr/>
                      <wps:spPr>
                        <a:xfrm>
                          <a:off x="0" y="0"/>
                          <a:ext cx="422910" cy="186690"/>
                        </a:xfrm>
                        <a:prstGeom prst="rect">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spacing w:line="240" w:lineRule="auto"/>
                              <w:ind w:firstLine="0" w:firstLineChars="0"/>
                              <w:jc w:val="center"/>
                              <w:rPr>
                                <w:rFonts w:hint="default" w:eastAsia="宋体"/>
                                <w:b/>
                                <w:bCs/>
                                <w:lang w:val="en-US" w:eastAsia="zh-CN"/>
                              </w:rPr>
                            </w:pPr>
                            <w:r>
                              <w:rPr>
                                <w:rFonts w:hint="eastAsia"/>
                                <w:b/>
                                <w:bCs/>
                                <w:color w:val="FF0000"/>
                                <w:lang w:val="en-US" w:eastAsia="zh-CN"/>
                              </w:rPr>
                              <w:t>8#</w:t>
                            </w:r>
                          </w:p>
                        </w:txbxContent>
                      </wps:txbx>
                      <wps:bodyPr rot="0" spcFirstLastPara="0" vertOverflow="overflow" horzOverflow="overflow" vert="horz" wrap="square" lIns="0" tIns="0" rIns="0" bIns="0" numCol="1" spcCol="0" rtlCol="0" fromWordArt="0" anchor="ctr" anchorCtr="0" forceAA="0" compatLnSpc="1">
                        <a:spAutoFit/>
                      </wps:bodyPr>
                    </wps:wsp>
                  </a:graphicData>
                </a:graphic>
              </wp:anchor>
            </w:drawing>
          </mc:Choice>
          <mc:Fallback>
            <w:pict>
              <v:rect id="_x0000_s1026" o:spid="_x0000_s1026" o:spt="1" style="position:absolute;left:0pt;margin-left:265.25pt;margin-top:148.2pt;height:14.7pt;width:33.3pt;z-index:251665408;v-text-anchor:middle;mso-width-relative:page;mso-height-relative:page;" fillcolor="#FFFF00" filled="t" stroked="t" coordsize="21600,21600" o:gfxdata="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pdDqfZAAAACwEAAA8AAAAAAAAAAQAgAAAAIgAAAGRycy9kb3ducmV2LnhtbFBL&#10;AQIUABQAAAAIAIdO4kARtkJoZwIAAPAEAAAOAAAAAAAAAAEAIAAAACgBAABkcnMvZTJvRG9jLnht&#10;bFBLBQYAAAAABgAGAFkBAAABBgAAAAA=&#10;">
                <v:fill on="t" focussize="0,0"/>
                <v:stroke weight="1pt" color="#FFFF00 [2404]" miterlimit="8" joinstyle="miter"/>
                <v:imagedata o:title=""/>
                <o:lock v:ext="edit" aspectratio="f"/>
                <v:textbox inset="0mm,0mm,0mm,0mm" style="mso-fit-shape-to-text:t;">
                  <w:txbxContent>
                    <w:p>
                      <w:pPr>
                        <w:spacing w:line="240" w:lineRule="auto"/>
                        <w:ind w:firstLine="0" w:firstLineChars="0"/>
                        <w:jc w:val="center"/>
                        <w:rPr>
                          <w:rFonts w:hint="default" w:eastAsia="宋体"/>
                          <w:b/>
                          <w:bCs/>
                          <w:lang w:val="en-US" w:eastAsia="zh-CN"/>
                        </w:rPr>
                      </w:pPr>
                      <w:r>
                        <w:rPr>
                          <w:rFonts w:hint="eastAsia"/>
                          <w:b/>
                          <w:bCs/>
                          <w:color w:val="FF0000"/>
                          <w:lang w:val="en-US" w:eastAsia="zh-CN"/>
                        </w:rPr>
                        <w:t>8#</w:t>
                      </w:r>
                    </w:p>
                  </w:txbxContent>
                </v:textbox>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3176270</wp:posOffset>
                </wp:positionH>
                <wp:positionV relativeFrom="paragraph">
                  <wp:posOffset>489585</wp:posOffset>
                </wp:positionV>
                <wp:extent cx="422910" cy="186690"/>
                <wp:effectExtent l="6350" t="6350" r="12700" b="20320"/>
                <wp:wrapNone/>
                <wp:docPr id="11" name="矩形 11"/>
                <wp:cNvGraphicFramePr/>
                <a:graphic xmlns:a="http://schemas.openxmlformats.org/drawingml/2006/main">
                  <a:graphicData uri="http://schemas.microsoft.com/office/word/2010/wordprocessingShape">
                    <wps:wsp>
                      <wps:cNvSpPr/>
                      <wps:spPr>
                        <a:xfrm>
                          <a:off x="0" y="0"/>
                          <a:ext cx="422910" cy="186690"/>
                        </a:xfrm>
                        <a:prstGeom prst="rect">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spacing w:line="240" w:lineRule="auto"/>
                              <w:ind w:firstLine="0" w:firstLineChars="0"/>
                              <w:jc w:val="center"/>
                              <w:rPr>
                                <w:rFonts w:hint="default" w:eastAsia="宋体"/>
                                <w:b/>
                                <w:bCs/>
                                <w:lang w:val="en-US" w:eastAsia="zh-CN"/>
                              </w:rPr>
                            </w:pPr>
                            <w:r>
                              <w:rPr>
                                <w:rFonts w:hint="eastAsia"/>
                                <w:b/>
                                <w:bCs/>
                                <w:color w:val="FF0000"/>
                                <w:lang w:val="en-US" w:eastAsia="zh-CN"/>
                              </w:rPr>
                              <w:t>7#</w:t>
                            </w:r>
                          </w:p>
                        </w:txbxContent>
                      </wps:txbx>
                      <wps:bodyPr rot="0" spcFirstLastPara="0" vertOverflow="overflow" horzOverflow="overflow" vert="horz" wrap="square" lIns="0" tIns="0" rIns="0" bIns="0" numCol="1" spcCol="0" rtlCol="0" fromWordArt="0" anchor="ctr" anchorCtr="0" forceAA="0" compatLnSpc="1">
                        <a:spAutoFit/>
                      </wps:bodyPr>
                    </wps:wsp>
                  </a:graphicData>
                </a:graphic>
              </wp:anchor>
            </w:drawing>
          </mc:Choice>
          <mc:Fallback>
            <w:pict>
              <v:rect id="_x0000_s1026" o:spid="_x0000_s1026" o:spt="1" style="position:absolute;left:0pt;margin-left:250.1pt;margin-top:38.55pt;height:14.7pt;width:33.3pt;z-index:251664384;v-text-anchor:middle;mso-width-relative:page;mso-height-relative:page;" fillcolor="#FFFF00" filled="t" stroked="t" coordsize="21600,21600" o:gfxdata="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ZAaPHZAAAACwEAAA8AAAAAAAAAAQAgAAAAIgAAAGRycy9kb3ducmV2LnhtbFBL&#10;AQIUABQAAAAIAIdO4kBdJTUeZwIAAPAEAAAOAAAAAAAAAAEAIAAAACgBAABkcnMvZTJvRG9jLnht&#10;bFBLBQYAAAAABgAGAFkBAAABBgAAAAA=&#10;">
                <v:fill on="t" focussize="0,0"/>
                <v:stroke weight="1pt" color="#FFFF00 [2404]" miterlimit="8" joinstyle="miter"/>
                <v:imagedata o:title=""/>
                <o:lock v:ext="edit" aspectratio="f"/>
                <v:textbox inset="0mm,0mm,0mm,0mm" style="mso-fit-shape-to-text:t;">
                  <w:txbxContent>
                    <w:p>
                      <w:pPr>
                        <w:spacing w:line="240" w:lineRule="auto"/>
                        <w:ind w:firstLine="0" w:firstLineChars="0"/>
                        <w:jc w:val="center"/>
                        <w:rPr>
                          <w:rFonts w:hint="default" w:eastAsia="宋体"/>
                          <w:b/>
                          <w:bCs/>
                          <w:lang w:val="en-US" w:eastAsia="zh-CN"/>
                        </w:rPr>
                      </w:pPr>
                      <w:r>
                        <w:rPr>
                          <w:rFonts w:hint="eastAsia"/>
                          <w:b/>
                          <w:bCs/>
                          <w:color w:val="FF0000"/>
                          <w:lang w:val="en-US" w:eastAsia="zh-CN"/>
                        </w:rPr>
                        <w:t>7#</w:t>
                      </w:r>
                    </w:p>
                  </w:txbxContent>
                </v:textbox>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1681480</wp:posOffset>
                </wp:positionH>
                <wp:positionV relativeFrom="paragraph">
                  <wp:posOffset>1840230</wp:posOffset>
                </wp:positionV>
                <wp:extent cx="422910" cy="186690"/>
                <wp:effectExtent l="6350" t="6350" r="12700" b="20320"/>
                <wp:wrapNone/>
                <wp:docPr id="10" name="矩形 10"/>
                <wp:cNvGraphicFramePr/>
                <a:graphic xmlns:a="http://schemas.openxmlformats.org/drawingml/2006/main">
                  <a:graphicData uri="http://schemas.microsoft.com/office/word/2010/wordprocessingShape">
                    <wps:wsp>
                      <wps:cNvSpPr/>
                      <wps:spPr>
                        <a:xfrm>
                          <a:off x="0" y="0"/>
                          <a:ext cx="422910" cy="186690"/>
                        </a:xfrm>
                        <a:prstGeom prst="rect">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spacing w:line="240" w:lineRule="auto"/>
                              <w:ind w:firstLine="0" w:firstLineChars="0"/>
                              <w:jc w:val="center"/>
                              <w:rPr>
                                <w:rFonts w:hint="default" w:eastAsia="宋体"/>
                                <w:b/>
                                <w:bCs/>
                                <w:lang w:val="en-US" w:eastAsia="zh-CN"/>
                              </w:rPr>
                            </w:pPr>
                            <w:r>
                              <w:rPr>
                                <w:rFonts w:hint="eastAsia"/>
                                <w:b/>
                                <w:bCs/>
                                <w:color w:val="FF0000"/>
                                <w:lang w:val="en-US" w:eastAsia="zh-CN"/>
                              </w:rPr>
                              <w:t>28#</w:t>
                            </w:r>
                          </w:p>
                        </w:txbxContent>
                      </wps:txbx>
                      <wps:bodyPr rot="0" spcFirstLastPara="0" vertOverflow="overflow" horzOverflow="overflow" vert="horz" wrap="square" lIns="0" tIns="0" rIns="0" bIns="0" numCol="1" spcCol="0" rtlCol="0" fromWordArt="0" anchor="ctr" anchorCtr="0" forceAA="0" compatLnSpc="1">
                        <a:spAutoFit/>
                      </wps:bodyPr>
                    </wps:wsp>
                  </a:graphicData>
                </a:graphic>
              </wp:anchor>
            </w:drawing>
          </mc:Choice>
          <mc:Fallback>
            <w:pict>
              <v:rect id="_x0000_s1026" o:spid="_x0000_s1026" o:spt="1" style="position:absolute;left:0pt;margin-left:132.4pt;margin-top:144.9pt;height:14.7pt;width:33.3pt;z-index:251662336;v-text-anchor:middle;mso-width-relative:page;mso-height-relative:page;" fillcolor="#FFFF00" filled="t" stroked="t" coordsize="21600,21600" o:gfxdata="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z4j5c2AAAAAsBAAAPAAAAAAAAAAEAIAAAACIAAABkcnMvZG93bnJldi54bWxQSwEC&#10;FAAUAAAACACHTuJAmavnM2YCAADwBAAADgAAAAAAAAABACAAAAAnAQAAZHJzL2Uyb0RvYy54bWxQ&#10;SwUGAAAAAAYABgBZAQAA/wUAAAAA&#10;">
                <v:fill on="t" focussize="0,0"/>
                <v:stroke weight="1pt" color="#FFFF00 [2404]" miterlimit="8" joinstyle="miter"/>
                <v:imagedata o:title=""/>
                <o:lock v:ext="edit" aspectratio="f"/>
                <v:textbox inset="0mm,0mm,0mm,0mm" style="mso-fit-shape-to-text:t;">
                  <w:txbxContent>
                    <w:p>
                      <w:pPr>
                        <w:spacing w:line="240" w:lineRule="auto"/>
                        <w:ind w:firstLine="0" w:firstLineChars="0"/>
                        <w:jc w:val="center"/>
                        <w:rPr>
                          <w:rFonts w:hint="default" w:eastAsia="宋体"/>
                          <w:b/>
                          <w:bCs/>
                          <w:lang w:val="en-US" w:eastAsia="zh-CN"/>
                        </w:rPr>
                      </w:pPr>
                      <w:r>
                        <w:rPr>
                          <w:rFonts w:hint="eastAsia"/>
                          <w:b/>
                          <w:bCs/>
                          <w:color w:val="FF0000"/>
                          <w:lang w:val="en-US" w:eastAsia="zh-CN"/>
                        </w:rPr>
                        <w:t>28#</w:t>
                      </w:r>
                    </w:p>
                  </w:txbxContent>
                </v:textbox>
              </v:rect>
            </w:pict>
          </mc:Fallback>
        </mc:AlternateContent>
      </w:r>
      <w:r>
        <w:drawing>
          <wp:inline distT="0" distB="0" distL="114300" distR="114300">
            <wp:extent cx="4899025" cy="3472815"/>
            <wp:effectExtent l="0" t="0" r="8255" b="190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12"/>
                    <a:stretch>
                      <a:fillRect/>
                    </a:stretch>
                  </pic:blipFill>
                  <pic:spPr>
                    <a:xfrm>
                      <a:off x="0" y="0"/>
                      <a:ext cx="4899025" cy="3472815"/>
                    </a:xfrm>
                    <a:prstGeom prst="rect">
                      <a:avLst/>
                    </a:prstGeom>
                    <a:noFill/>
                    <a:ln>
                      <a:noFill/>
                    </a:ln>
                  </pic:spPr>
                </pic:pic>
              </a:graphicData>
            </a:graphic>
          </wp:inline>
        </w:drawing>
      </w:r>
      <w:bookmarkStart w:id="38" w:name="_GoBack"/>
      <w:bookmarkEnd w:id="38"/>
      <w:r>
        <w:rPr>
          <w:sz w:val="24"/>
        </w:rPr>
        <mc:AlternateContent>
          <mc:Choice Requires="wps">
            <w:drawing>
              <wp:anchor distT="0" distB="0" distL="114300" distR="114300" simplePos="0" relativeHeight="251659264" behindDoc="0" locked="0" layoutInCell="1" allowOverlap="1">
                <wp:simplePos x="0" y="0"/>
                <wp:positionH relativeFrom="column">
                  <wp:posOffset>1611630</wp:posOffset>
                </wp:positionH>
                <wp:positionV relativeFrom="paragraph">
                  <wp:posOffset>1132840</wp:posOffset>
                </wp:positionV>
                <wp:extent cx="422910" cy="186690"/>
                <wp:effectExtent l="6350" t="6350" r="12700" b="20320"/>
                <wp:wrapNone/>
                <wp:docPr id="7" name="矩形 7"/>
                <wp:cNvGraphicFramePr/>
                <a:graphic xmlns:a="http://schemas.openxmlformats.org/drawingml/2006/main">
                  <a:graphicData uri="http://schemas.microsoft.com/office/word/2010/wordprocessingShape">
                    <wps:wsp>
                      <wps:cNvSpPr/>
                      <wps:spPr>
                        <a:xfrm>
                          <a:off x="3221355" y="2231390"/>
                          <a:ext cx="422910" cy="186690"/>
                        </a:xfrm>
                        <a:prstGeom prst="rect">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pPr>
                              <w:spacing w:line="240" w:lineRule="auto"/>
                              <w:ind w:firstLine="0" w:firstLineChars="0"/>
                              <w:jc w:val="center"/>
                              <w:rPr>
                                <w:rFonts w:hint="default" w:eastAsia="宋体"/>
                                <w:b/>
                                <w:bCs/>
                                <w:lang w:val="en-US" w:eastAsia="zh-CN"/>
                              </w:rPr>
                            </w:pPr>
                            <w:r>
                              <w:rPr>
                                <w:rFonts w:hint="eastAsia"/>
                                <w:b/>
                                <w:bCs/>
                                <w:color w:val="FF0000"/>
                                <w:lang w:val="en-US" w:eastAsia="zh-CN"/>
                              </w:rPr>
                              <w:t>16#</w:t>
                            </w:r>
                          </w:p>
                        </w:txbxContent>
                      </wps:txbx>
                      <wps:bodyPr rot="0" spcFirstLastPara="0" vertOverflow="overflow" horzOverflow="overflow" vert="horz" wrap="square" lIns="0" tIns="0" rIns="0" bIns="0" numCol="1" spcCol="0" rtlCol="0" fromWordArt="0" anchor="ctr" anchorCtr="0" forceAA="0" compatLnSpc="1">
                        <a:spAutoFit/>
                      </wps:bodyPr>
                    </wps:wsp>
                  </a:graphicData>
                </a:graphic>
              </wp:anchor>
            </w:drawing>
          </mc:Choice>
          <mc:Fallback>
            <w:pict>
              <v:rect id="_x0000_s1026" o:spid="_x0000_s1026" o:spt="1" style="position:absolute;left:0pt;margin-left:126.9pt;margin-top:89.2pt;height:14.7pt;width:33.3pt;z-index:251659264;v-text-anchor:middle;mso-width-relative:page;mso-height-relative:page;" fillcolor="#FFFF00" filled="t" stroked="t" coordsize="21600,21600" o:gfxdata="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aCXpvZAAAACwEAAA8AAAAAAAAAAQAgAAAAIgAAAGRy&#10;cy9kb3ducmV2LnhtbFBLAQIUABQAAAAIAIdO4kDCE3z5dgIAAPoEAAAOAAAAAAAAAAEAIAAAACgB&#10;AABkcnMvZTJvRG9jLnhtbFBLBQYAAAAABgAGAFkBAAAQBgAAAAA=&#10;">
                <v:fill on="t" focussize="0,0"/>
                <v:stroke weight="1pt" color="#FFFF00 [2404]" miterlimit="8" joinstyle="miter"/>
                <v:imagedata o:title=""/>
                <o:lock v:ext="edit" aspectratio="f"/>
                <v:textbox inset="0mm,0mm,0mm,0mm" style="mso-fit-shape-to-text:t;">
                  <w:txbxContent>
                    <w:p>
                      <w:pPr>
                        <w:spacing w:line="240" w:lineRule="auto"/>
                        <w:ind w:firstLine="0" w:firstLineChars="0"/>
                        <w:jc w:val="center"/>
                        <w:rPr>
                          <w:rFonts w:hint="default" w:eastAsia="宋体"/>
                          <w:b/>
                          <w:bCs/>
                          <w:lang w:val="en-US" w:eastAsia="zh-CN"/>
                        </w:rPr>
                      </w:pPr>
                      <w:r>
                        <w:rPr>
                          <w:rFonts w:hint="eastAsia"/>
                          <w:b/>
                          <w:bCs/>
                          <w:color w:val="FF0000"/>
                          <w:lang w:val="en-US" w:eastAsia="zh-CN"/>
                        </w:rPr>
                        <w:t>16#</w:t>
                      </w:r>
                    </w:p>
                  </w:txbxContent>
                </v:textbox>
              </v:rect>
            </w:pict>
          </mc:Fallback>
        </mc:AlternateContent>
      </w:r>
    </w:p>
    <w:p>
      <w:pPr>
        <w:bidi w:val="0"/>
        <w:rPr>
          <w:rFonts w:hint="eastAsia"/>
        </w:rPr>
      </w:pPr>
    </w:p>
    <w:p>
      <w:pPr>
        <w:pStyle w:val="2"/>
        <w:bidi w:val="0"/>
        <w:rPr>
          <w:rFonts w:hint="default"/>
          <w:lang w:val="en-US" w:eastAsia="zh-CN"/>
        </w:rPr>
      </w:pPr>
      <w:bookmarkStart w:id="14" w:name="_Toc13563"/>
      <w:r>
        <w:rPr>
          <w:rFonts w:hint="eastAsia"/>
          <w:lang w:val="en-US" w:eastAsia="zh-CN"/>
        </w:rPr>
        <w:t>4.施工准备</w:t>
      </w:r>
      <w:bookmarkEnd w:id="14"/>
    </w:p>
    <w:p>
      <w:pPr>
        <w:bidi w:val="0"/>
        <w:rPr>
          <w:rFonts w:hint="eastAsia"/>
        </w:rPr>
      </w:pPr>
      <w:r>
        <w:rPr>
          <w:rFonts w:hint="eastAsia"/>
        </w:rPr>
        <w:t>1、施工组织准备工作：</w:t>
      </w:r>
    </w:p>
    <w:p>
      <w:pPr>
        <w:bidi w:val="0"/>
        <w:rPr>
          <w:rFonts w:hint="eastAsia"/>
        </w:rPr>
      </w:pPr>
      <w:r>
        <w:rPr>
          <w:rFonts w:hint="eastAsia"/>
        </w:rPr>
        <w:t>成立现场安全管理小组，由我项目部生产经理</w:t>
      </w:r>
      <w:r>
        <w:rPr>
          <w:rFonts w:hint="eastAsia"/>
          <w:lang w:val="en-US" w:eastAsia="zh-CN"/>
        </w:rPr>
        <w:t>张腾</w:t>
      </w:r>
      <w:r>
        <w:rPr>
          <w:rFonts w:hint="eastAsia"/>
        </w:rPr>
        <w:t>任组长，安全</w:t>
      </w:r>
      <w:r>
        <w:rPr>
          <w:rFonts w:hint="eastAsia"/>
          <w:lang w:val="en-US" w:eastAsia="zh-CN"/>
        </w:rPr>
        <w:t>主管秦晨光任</w:t>
      </w:r>
      <w:r>
        <w:rPr>
          <w:rFonts w:hint="eastAsia"/>
        </w:rPr>
        <w:t>副组长，现场施工员、质检员、测量员、各作业班组长、塔吊指挥员任组员，业主、监理进行现场检查和督促。</w:t>
      </w:r>
    </w:p>
    <w:p>
      <w:pPr>
        <w:bidi w:val="0"/>
        <w:rPr>
          <w:rFonts w:hint="eastAsia"/>
        </w:rPr>
      </w:pPr>
      <w:r>
        <w:rPr>
          <w:rFonts w:hint="eastAsia"/>
        </w:rPr>
        <w:t>2、技术准备工作：</w:t>
      </w:r>
    </w:p>
    <w:p>
      <w:pPr>
        <w:bidi w:val="0"/>
        <w:rPr>
          <w:rFonts w:hint="eastAsia"/>
        </w:rPr>
      </w:pPr>
      <w:r>
        <w:rPr>
          <w:rFonts w:hint="eastAsia"/>
        </w:rPr>
        <w:t>①项目部已对机电工长、塔吊指挥人员、塔吊司机进行了施工技术交底和安全技术交底，针对高压线相邻施工的管理制度和措施，有效加大了施工安全管理力度；</w:t>
      </w:r>
    </w:p>
    <w:p>
      <w:pPr>
        <w:bidi w:val="0"/>
        <w:rPr>
          <w:rFonts w:hint="eastAsia"/>
          <w:lang w:val="en-US" w:eastAsia="zh-CN"/>
        </w:rPr>
      </w:pPr>
      <w:r>
        <w:rPr>
          <w:rFonts w:hint="eastAsia"/>
        </w:rPr>
        <w:t>②塔吊运行和安全检测设备已到位，各项性能正常，能满足各项检测需要。</w:t>
      </w:r>
    </w:p>
    <w:p>
      <w:pPr>
        <w:pStyle w:val="2"/>
        <w:bidi w:val="0"/>
        <w:rPr>
          <w:rFonts w:hint="eastAsia"/>
          <w:lang w:val="en-US" w:eastAsia="zh-CN"/>
        </w:rPr>
      </w:pPr>
      <w:bookmarkStart w:id="15" w:name="_Toc24787"/>
      <w:r>
        <w:rPr>
          <w:rFonts w:hint="eastAsia"/>
          <w:lang w:val="en-US" w:eastAsia="zh-CN"/>
        </w:rPr>
        <w:t>5.塔吊安全限位</w:t>
      </w:r>
      <w:bookmarkEnd w:id="15"/>
    </w:p>
    <w:p>
      <w:pPr>
        <w:bidi w:val="0"/>
        <w:rPr>
          <w:rFonts w:hint="eastAsia"/>
        </w:rPr>
      </w:pPr>
      <w:r>
        <w:rPr>
          <w:rFonts w:hint="eastAsia"/>
        </w:rPr>
        <w:t>在安装时，考虑到在塔吊</w:t>
      </w:r>
      <w:r>
        <w:rPr>
          <w:rFonts w:hint="eastAsia"/>
          <w:lang w:val="en-US" w:eastAsia="zh-CN"/>
        </w:rPr>
        <w:t>西</w:t>
      </w:r>
      <w:r>
        <w:rPr>
          <w:rFonts w:hint="eastAsia"/>
        </w:rPr>
        <w:t>面距塔吊约</w:t>
      </w:r>
      <w:r>
        <w:rPr>
          <w:rFonts w:hint="eastAsia"/>
          <w:lang w:val="en-US" w:eastAsia="zh-CN"/>
        </w:rPr>
        <w:t>2</w:t>
      </w:r>
      <w:r>
        <w:rPr>
          <w:rFonts w:hint="eastAsia"/>
        </w:rPr>
        <w:t>0米处</w:t>
      </w:r>
      <w:r>
        <w:rPr>
          <w:rFonts w:hint="eastAsia"/>
          <w:lang w:val="en-US" w:eastAsia="zh-CN"/>
        </w:rPr>
        <w:t>沿着清华园路走向</w:t>
      </w:r>
      <w:r>
        <w:rPr>
          <w:rFonts w:hint="eastAsia"/>
        </w:rPr>
        <w:t>有一条</w:t>
      </w:r>
      <w:r>
        <w:rPr>
          <w:rFonts w:hint="eastAsia"/>
          <w:lang w:val="en-US" w:eastAsia="zh-CN"/>
        </w:rPr>
        <w:t>南北向</w:t>
      </w:r>
      <w:r>
        <w:rPr>
          <w:rFonts w:hint="eastAsia"/>
        </w:rPr>
        <w:t>高压线，因此特别设置了安全限位装置，以确保塔吊施工使用安全。</w:t>
      </w:r>
    </w:p>
    <w:p>
      <w:pPr>
        <w:bidi w:val="0"/>
        <w:rPr>
          <w:rFonts w:hint="eastAsia"/>
        </w:rPr>
      </w:pPr>
      <w:r>
        <w:rPr>
          <w:rFonts w:hint="eastAsia"/>
        </w:rPr>
        <w:t>安全限位装置作用主要如下:</w:t>
      </w:r>
    </w:p>
    <w:p>
      <w:pPr>
        <w:bidi w:val="0"/>
        <w:rPr>
          <w:rFonts w:hint="eastAsia"/>
        </w:rPr>
      </w:pPr>
      <w:r>
        <w:rPr>
          <w:rFonts w:hint="eastAsia"/>
        </w:rPr>
        <w:t>为了塔吊臂与高压线之间提供有效的安全距离，安装塔吊旋转限位装置和塔吊小车限位装置，即在吊臂旋转到一定方位和小车前进到一定距离时，限位装置会自动报警及锁定。以保证吊臂与高压线之间的安全距离。</w:t>
      </w:r>
    </w:p>
    <w:p>
      <w:pPr>
        <w:bidi w:val="0"/>
        <w:rPr>
          <w:rFonts w:hint="eastAsia"/>
        </w:rPr>
      </w:pPr>
      <w:r>
        <w:rPr>
          <w:rFonts w:hint="eastAsia"/>
        </w:rPr>
        <w:t>该装置主要具有防碰撞功能，以及限载重、限制塔吊大臂摆动幅度、限制塔吊旋转角度等功能。</w:t>
      </w:r>
    </w:p>
    <w:p>
      <w:pPr>
        <w:bidi w:val="0"/>
        <w:rPr>
          <w:rFonts w:hint="eastAsia"/>
        </w:rPr>
      </w:pPr>
      <w:r>
        <w:rPr>
          <w:rFonts w:hint="eastAsia"/>
        </w:rPr>
        <w:t>特别提示:在有</w:t>
      </w:r>
      <w:r>
        <w:rPr>
          <w:rFonts w:hint="eastAsia"/>
          <w:lang w:val="en-US" w:eastAsia="zh-CN"/>
        </w:rPr>
        <w:t>大</w:t>
      </w:r>
      <w:r>
        <w:rPr>
          <w:rFonts w:hint="eastAsia"/>
        </w:rPr>
        <w:t>风来临时，需将限位装置设定为360度自由旋转，小车前进距离限定在一定范围。待</w:t>
      </w:r>
      <w:r>
        <w:rPr>
          <w:rFonts w:hint="eastAsia"/>
          <w:lang w:val="en-US" w:eastAsia="zh-CN"/>
        </w:rPr>
        <w:t>大</w:t>
      </w:r>
      <w:r>
        <w:rPr>
          <w:rFonts w:hint="eastAsia"/>
        </w:rPr>
        <w:t>风过后，再重新设定限位。</w:t>
      </w:r>
    </w:p>
    <w:p>
      <w:pPr>
        <w:bidi w:val="0"/>
        <w:rPr>
          <w:rFonts w:hint="eastAsia"/>
        </w:rPr>
      </w:pPr>
      <w:r>
        <w:rPr>
          <w:rFonts w:hint="eastAsia"/>
        </w:rPr>
        <w:t>其他需注意的安全措施:</w:t>
      </w:r>
    </w:p>
    <w:p>
      <w:pPr>
        <w:bidi w:val="0"/>
        <w:rPr>
          <w:rFonts w:hint="eastAsia"/>
        </w:rPr>
      </w:pPr>
      <w:r>
        <w:rPr>
          <w:rFonts w:hint="eastAsia"/>
        </w:rPr>
        <w:t>A、作业前，有关部门应对全作业人员进行安全技术交底。</w:t>
      </w:r>
    </w:p>
    <w:p>
      <w:pPr>
        <w:bidi w:val="0"/>
        <w:rPr>
          <w:rFonts w:hint="eastAsia"/>
        </w:rPr>
      </w:pPr>
      <w:r>
        <w:rPr>
          <w:rFonts w:hint="eastAsia"/>
        </w:rPr>
        <w:t>B、风力大于4级时不进行作业。</w:t>
      </w:r>
    </w:p>
    <w:p>
      <w:pPr>
        <w:bidi w:val="0"/>
        <w:rPr>
          <w:rFonts w:hint="eastAsia"/>
        </w:rPr>
      </w:pPr>
      <w:r>
        <w:rPr>
          <w:rFonts w:hint="eastAsia"/>
        </w:rPr>
        <w:t>C、升降作业前，先检查液压系统。</w:t>
      </w:r>
    </w:p>
    <w:p>
      <w:pPr>
        <w:bidi w:val="0"/>
        <w:rPr>
          <w:rFonts w:hint="eastAsia"/>
        </w:rPr>
      </w:pPr>
      <w:r>
        <w:rPr>
          <w:rFonts w:hint="eastAsia"/>
        </w:rPr>
        <w:t>D、禁止把重物长时间吊在高空，起重机司机操作时精神要集中，不得离开岗位，禁止非工作人员进入驾驶室。</w:t>
      </w:r>
    </w:p>
    <w:p>
      <w:pPr>
        <w:bidi w:val="0"/>
        <w:rPr>
          <w:rFonts w:hint="eastAsia"/>
        </w:rPr>
      </w:pPr>
      <w:r>
        <w:rPr>
          <w:rFonts w:hint="eastAsia"/>
        </w:rPr>
        <w:t>E、吊物必须与高压电线保持足够安全距离。</w:t>
      </w:r>
    </w:p>
    <w:p>
      <w:pPr>
        <w:bidi w:val="0"/>
        <w:rPr>
          <w:rFonts w:hint="eastAsia"/>
        </w:rPr>
      </w:pPr>
      <w:r>
        <w:rPr>
          <w:rFonts w:hint="eastAsia"/>
        </w:rPr>
        <w:t>F、起吊过程中机械突然发生故障，应采取措施将置物下降到安全的地方，断开电源进行抢修。在突然停电时，应把所有控制器收到零位，断开电源开关，并采取措施将重物下降到安全的地方。</w:t>
      </w:r>
    </w:p>
    <w:p>
      <w:pPr>
        <w:bidi w:val="0"/>
        <w:rPr>
          <w:rFonts w:hint="eastAsia"/>
        </w:rPr>
      </w:pPr>
      <w:r>
        <w:rPr>
          <w:rFonts w:hint="eastAsia"/>
        </w:rPr>
        <w:t>G、作业中如遇到暴风骤雨，应立即停止作业，将回转机构的制动器完全松开，如驾驶员必须离开驾驶室时，必须切开电源。</w:t>
      </w:r>
    </w:p>
    <w:p>
      <w:pPr>
        <w:bidi w:val="0"/>
        <w:rPr>
          <w:rFonts w:hint="eastAsia"/>
        </w:rPr>
      </w:pPr>
      <w:r>
        <w:rPr>
          <w:rFonts w:hint="eastAsia"/>
        </w:rPr>
        <w:t>H、作业后，吊臂小车收近至驾驶室。并应完全放松回转制动器，将制动器拨回零位依次断开各开关关闭驾驶室，下班后断开电源总开关。</w:t>
      </w:r>
    </w:p>
    <w:p>
      <w:pPr>
        <w:bidi w:val="0"/>
        <w:rPr>
          <w:rFonts w:hint="eastAsia"/>
          <w:lang w:eastAsia="zh-CN"/>
        </w:rPr>
      </w:pPr>
      <w:r>
        <w:rPr>
          <w:rFonts w:hint="eastAsia"/>
        </w:rPr>
        <w:t>综上所述， 由于设置了限位限旋转角度装置，</w:t>
      </w:r>
      <w:r>
        <w:rPr>
          <w:rFonts w:hint="eastAsia"/>
          <w:lang w:val="en-US" w:eastAsia="zh-CN"/>
        </w:rPr>
        <w:t>28</w:t>
      </w:r>
      <w:r>
        <w:rPr>
          <w:rFonts w:hint="eastAsia"/>
        </w:rPr>
        <w:t>#塔吊的使用有允分的保障。在施工过程中，只要严格按照操作规程施工，可以确保塔吊的正常安全使用</w:t>
      </w:r>
      <w:r>
        <w:rPr>
          <w:rFonts w:hint="eastAsia"/>
          <w:lang w:eastAsia="zh-CN"/>
        </w:rPr>
        <w:t>。</w:t>
      </w:r>
    </w:p>
    <w:p>
      <w:pPr>
        <w:bidi w:val="0"/>
        <w:rPr>
          <w:rFonts w:hint="eastAsia"/>
        </w:rPr>
      </w:pPr>
    </w:p>
    <w:p>
      <w:pPr>
        <w:pStyle w:val="2"/>
        <w:bidi w:val="0"/>
        <w:rPr>
          <w:rFonts w:hint="eastAsia"/>
        </w:rPr>
      </w:pPr>
      <w:bookmarkStart w:id="16" w:name="_Toc1270"/>
      <w:r>
        <w:rPr>
          <w:rFonts w:hint="eastAsia"/>
          <w:lang w:val="en-US" w:eastAsia="zh-CN"/>
        </w:rPr>
        <w:t>6.</w:t>
      </w:r>
      <w:r>
        <w:rPr>
          <w:rFonts w:hint="eastAsia"/>
        </w:rPr>
        <w:t>主要施工方案及技术、安全措施</w:t>
      </w:r>
      <w:bookmarkEnd w:id="16"/>
    </w:p>
    <w:p>
      <w:pPr>
        <w:bidi w:val="0"/>
        <w:rPr>
          <w:rFonts w:hint="eastAsia"/>
        </w:rPr>
      </w:pPr>
      <w:r>
        <w:rPr>
          <w:rFonts w:hint="eastAsia"/>
        </w:rPr>
        <w:t>1、塔吊使用控制：</w:t>
      </w:r>
    </w:p>
    <w:p>
      <w:pPr>
        <w:bidi w:val="0"/>
        <w:rPr>
          <w:rFonts w:hint="eastAsia"/>
        </w:rPr>
      </w:pPr>
      <w:r>
        <w:rPr>
          <w:rFonts w:hint="eastAsia"/>
        </w:rPr>
        <w:t>①塔吊司机和指挥人员必须持有效上岗作业证人员，并是操作熟练、经验丰富、责任心强的人员担任；</w:t>
      </w:r>
    </w:p>
    <w:p>
      <w:pPr>
        <w:bidi w:val="0"/>
        <w:rPr>
          <w:rFonts w:hint="eastAsia"/>
        </w:rPr>
      </w:pPr>
      <w:r>
        <w:rPr>
          <w:rFonts w:hint="eastAsia"/>
        </w:rPr>
        <w:t>②塔吊指挥控制：当塔吊在</w:t>
      </w:r>
      <w:r>
        <w:rPr>
          <w:rFonts w:hint="eastAsia"/>
          <w:lang w:val="en-US" w:eastAsia="zh-CN"/>
        </w:rPr>
        <w:t>朝北或朝南方向</w:t>
      </w:r>
      <w:r>
        <w:rPr>
          <w:rFonts w:hint="eastAsia"/>
        </w:rPr>
        <w:t>吊运物品时，塔吊指挥员必须站</w:t>
      </w:r>
      <w:r>
        <w:rPr>
          <w:rFonts w:hint="eastAsia"/>
          <w:lang w:val="en-US" w:eastAsia="zh-CN"/>
        </w:rPr>
        <w:t>在围墙处，</w:t>
      </w:r>
      <w:r>
        <w:rPr>
          <w:rFonts w:hint="eastAsia"/>
        </w:rPr>
        <w:t>指挥塔吊吊运，其运行范围不准超出相应的限位标志；</w:t>
      </w:r>
    </w:p>
    <w:p>
      <w:pPr>
        <w:bidi w:val="0"/>
        <w:rPr>
          <w:rFonts w:hint="eastAsia"/>
        </w:rPr>
      </w:pPr>
      <w:r>
        <w:rPr>
          <w:rFonts w:hint="eastAsia"/>
        </w:rPr>
        <w:t>③现场检查控制：</w:t>
      </w:r>
    </w:p>
    <w:p>
      <w:pPr>
        <w:bidi w:val="0"/>
        <w:rPr>
          <w:rFonts w:hint="eastAsia"/>
        </w:rPr>
      </w:pPr>
      <w:r>
        <w:rPr>
          <w:rFonts w:hint="eastAsia"/>
        </w:rPr>
        <w:t>为确保安全防护措施能得到有效落实，现场安全管理小组成员每天不定时的对高压线相邻施工部位和防护架、外脚手架进行检查，发现问题并及时安排和督促整改到位；</w:t>
      </w:r>
    </w:p>
    <w:p>
      <w:pPr>
        <w:bidi w:val="0"/>
        <w:rPr>
          <w:rFonts w:hint="eastAsia"/>
        </w:rPr>
      </w:pPr>
      <w:r>
        <w:rPr>
          <w:rFonts w:hint="eastAsia"/>
        </w:rPr>
        <w:t>现场电工每周最少一次对接地情况进行检查和测试，发现问题及时通知相关班组并督促整改到位；</w:t>
      </w:r>
    </w:p>
    <w:p>
      <w:pPr>
        <w:bidi w:val="0"/>
        <w:rPr>
          <w:rFonts w:hint="eastAsia"/>
        </w:rPr>
      </w:pPr>
      <w:r>
        <w:rPr>
          <w:rFonts w:hint="eastAsia"/>
        </w:rPr>
        <w:t>现场安全管理小组对本工程施工安全每周进行一次现场安全检查，发现问题并及时安排和督促整改到位，确保施工安全在控制范围之内。</w:t>
      </w:r>
    </w:p>
    <w:p>
      <w:pPr>
        <w:bidi w:val="0"/>
        <w:rPr>
          <w:rFonts w:hint="default"/>
          <w:lang w:val="en-US" w:eastAsia="zh-CN"/>
        </w:rPr>
      </w:pPr>
    </w:p>
    <w:p>
      <w:pPr>
        <w:pStyle w:val="2"/>
        <w:bidi w:val="0"/>
        <w:rPr>
          <w:rFonts w:hint="default"/>
          <w:lang w:val="en-US" w:eastAsia="zh-CN"/>
        </w:rPr>
      </w:pPr>
      <w:bookmarkStart w:id="17" w:name="_Toc11513"/>
      <w:r>
        <w:rPr>
          <w:rFonts w:hint="eastAsia"/>
          <w:lang w:val="en-US" w:eastAsia="zh-CN"/>
        </w:rPr>
        <w:t>7.应急预案</w:t>
      </w:r>
      <w:bookmarkEnd w:id="17"/>
    </w:p>
    <w:p>
      <w:pPr>
        <w:pStyle w:val="3"/>
        <w:bidi w:val="0"/>
        <w:rPr>
          <w:rFonts w:hint="eastAsia"/>
        </w:rPr>
      </w:pPr>
      <w:bookmarkStart w:id="18" w:name="_Toc30039"/>
      <w:bookmarkStart w:id="19" w:name="_Toc5469"/>
      <w:r>
        <w:rPr>
          <w:rFonts w:hint="eastAsia"/>
          <w:lang w:val="en-US" w:eastAsia="zh-CN"/>
        </w:rPr>
        <w:t>7.1</w:t>
      </w:r>
      <w:r>
        <w:rPr>
          <w:rFonts w:hint="eastAsia"/>
        </w:rPr>
        <w:t>目的</w:t>
      </w:r>
      <w:bookmarkEnd w:id="18"/>
      <w:bookmarkEnd w:id="19"/>
    </w:p>
    <w:p>
      <w:pPr>
        <w:bidi w:val="0"/>
        <w:rPr>
          <w:rFonts w:hint="eastAsia"/>
        </w:rPr>
      </w:pPr>
      <w:r>
        <w:rPr>
          <w:rFonts w:hint="eastAsia"/>
        </w:rPr>
        <w:t>为提高建设工程设备安全事故应急救援的快速反应能力，确保及时、有效地遏制安全事故的发生，最大限度减少事故中的人员伤亡和财产损失，以最快速度对事故的伤亡人员进行施救以及事故现场设备险情和安全隐患的迅速排除，以避免事故继发性发生。</w:t>
      </w:r>
    </w:p>
    <w:p>
      <w:pPr>
        <w:pStyle w:val="3"/>
        <w:bidi w:val="0"/>
        <w:rPr>
          <w:rFonts w:hint="eastAsia"/>
        </w:rPr>
      </w:pPr>
      <w:bookmarkStart w:id="20" w:name="_Toc10548"/>
      <w:bookmarkStart w:id="21" w:name="_Toc8665"/>
      <w:r>
        <w:rPr>
          <w:rFonts w:hint="eastAsia"/>
          <w:lang w:val="en-US" w:eastAsia="zh-CN"/>
        </w:rPr>
        <w:t>7.2</w:t>
      </w:r>
      <w:r>
        <w:rPr>
          <w:rFonts w:hint="eastAsia"/>
        </w:rPr>
        <w:t>应急预案施救项目的具体施救方法</w:t>
      </w:r>
      <w:bookmarkEnd w:id="20"/>
      <w:bookmarkEnd w:id="21"/>
    </w:p>
    <w:p>
      <w:pPr>
        <w:rPr>
          <w:rFonts w:hint="eastAsia"/>
        </w:rPr>
      </w:pPr>
      <w:r>
        <w:rPr>
          <w:rFonts w:hint="eastAsia"/>
        </w:rPr>
        <w:t>1、触电应急急救方法</w:t>
      </w:r>
    </w:p>
    <w:p>
      <w:pPr>
        <w:rPr>
          <w:rFonts w:hint="eastAsia"/>
        </w:rPr>
      </w:pPr>
      <w:r>
        <w:rPr>
          <w:rFonts w:hint="eastAsia"/>
        </w:rPr>
        <w:t>1）对于触电者的急救应分秒必争。发生呼吸必心跳停止的病人，病情都非常严重。这进应一面进行抢救，一面紧急联系专业救护机构，就近送病人去医院进一步治序；在转送病人去医院途中，抢救工作不能中断。</w:t>
      </w:r>
    </w:p>
    <w:p>
      <w:pPr>
        <w:rPr>
          <w:rFonts w:hint="eastAsia"/>
        </w:rPr>
      </w:pPr>
      <w:r>
        <w:rPr>
          <w:rFonts w:hint="eastAsia"/>
        </w:rPr>
        <w:t>2）关掉电闸，切断电源，然后施救。无法切断电源时，可以用木棒、竹竿将电线挑离触电者身体。如挑不开电线或其他致触电的带电电器，应用干的绳子套住触电者拖离，使其脱离电流。救援者最好戴上橡皮手套，穿橡胶运动鞋等。切忌用手去拉触电者，不能因救人心切而忘了自身安全。</w:t>
      </w:r>
    </w:p>
    <w:p>
      <w:pPr>
        <w:ind w:left="0" w:leftChars="0" w:firstLine="480" w:firstLineChars="200"/>
        <w:rPr>
          <w:rFonts w:hint="eastAsia"/>
        </w:rPr>
      </w:pPr>
      <w:r>
        <w:rPr>
          <w:rFonts w:hint="eastAsia"/>
        </w:rPr>
        <w:t>3）伤者神志清醒，呼吸心跳均自主，应让伤者就地平卧，严密观察，暂时不要站立或走动，防止继发休克或心衰。</w:t>
      </w:r>
    </w:p>
    <w:p>
      <w:pPr>
        <w:rPr>
          <w:rFonts w:hint="eastAsia"/>
        </w:rPr>
      </w:pPr>
      <w:r>
        <w:rPr>
          <w:rFonts w:hint="eastAsia"/>
        </w:rPr>
        <w:t>4）伤进丧失意识时要立即叫救护车，并尝试唤醒伤者。呼吸停止，心搏存在者，就地平卧解松衣扣，通畅气道，立即口对口人工呼吸。心搏停止，呼吸存在者，应立即做胸外心脏扣压。</w:t>
      </w:r>
    </w:p>
    <w:p>
      <w:pPr>
        <w:rPr>
          <w:rFonts w:hint="eastAsia"/>
        </w:rPr>
      </w:pPr>
      <w:r>
        <w:rPr>
          <w:rFonts w:hint="eastAsia"/>
        </w:rPr>
        <w:t>5）发现其心跳呼吸停止，应立即进行口对口人工呼吸和胸外按摩等复苏措施，一般抢救时间不得少于60~90分钟。直到使触电者恢复呼吸、心跳或确认已无生还希望时为止。现场抢救最好能两分别实行口对口人工呼吸及胸外心脏按压，以1：5的比例进行，即人工呼吸1次，心脏按压5次。如现场抢救仅用1人，用15：2的比例进行胸外心脏按压和人工呼吸，即先作胸外心脏按压15次，再口对口人工呼吸2次，如此交替进行，抢救一定要彻底。</w:t>
      </w:r>
    </w:p>
    <w:p>
      <w:pPr>
        <w:rPr>
          <w:rFonts w:hint="eastAsia"/>
        </w:rPr>
      </w:pPr>
      <w:r>
        <w:rPr>
          <w:rFonts w:hint="eastAsia"/>
        </w:rPr>
        <w:t>2、机械伤害急救方法</w:t>
      </w:r>
    </w:p>
    <w:p>
      <w:pPr>
        <w:rPr>
          <w:rFonts w:hint="eastAsia"/>
        </w:rPr>
      </w:pPr>
      <w:r>
        <w:rPr>
          <w:rFonts w:hint="eastAsia"/>
        </w:rPr>
        <w:t>当伤害事故发生后，应立即拨通120急救电话，报告出事地点、受伤人员及伤情，同时应根据具体情况对伤员进行现场急救。对伤员的现场抢救包括：</w:t>
      </w:r>
    </w:p>
    <w:p>
      <w:pPr>
        <w:rPr>
          <w:rFonts w:hint="eastAsia"/>
        </w:rPr>
      </w:pPr>
      <w:r>
        <w:rPr>
          <w:rFonts w:hint="eastAsia"/>
        </w:rPr>
        <w:t>1）对心跳呼吸停止者，现场施行心肺复苏；</w:t>
      </w:r>
    </w:p>
    <w:p>
      <w:pPr>
        <w:rPr>
          <w:rFonts w:hint="eastAsia"/>
        </w:rPr>
      </w:pPr>
      <w:r>
        <w:rPr>
          <w:rFonts w:hint="eastAsia"/>
        </w:rPr>
        <w:t>2）对出血多的伤口应加压包扎，有搏动性或喷涌状动脉出血不止时，暂时可用指压法止血；或在出血肢体伤口的近端扎止血带，上止血带者应有标记，注明时间，并且每20分钟放松一次，以防肢体的缺血坏死，就地取材固定骨折的肢体，防止骨折的再损伤。</w:t>
      </w:r>
    </w:p>
    <w:p>
      <w:pPr>
        <w:rPr>
          <w:rFonts w:hint="eastAsia"/>
        </w:rPr>
      </w:pPr>
      <w:r>
        <w:rPr>
          <w:rFonts w:hint="eastAsia"/>
        </w:rPr>
        <w:t>3）遇有开放性颅脑或开放性腹部伤，脑组织或腹腔内脏脱出者，不应将污染的组织塞入，可用干净碗覆盖，然后包扎；避免进食、饮水或用止痛剂，速送医院诊治。</w:t>
      </w:r>
    </w:p>
    <w:p>
      <w:pPr>
        <w:rPr>
          <w:rFonts w:hint="eastAsia"/>
        </w:rPr>
      </w:pPr>
      <w:r>
        <w:rPr>
          <w:rFonts w:hint="eastAsia"/>
        </w:rPr>
        <w:t>4）若有胸壁浮动，应立即用衣物，棉垫等充填后适当加压包扎，以限制浮动。</w:t>
      </w:r>
    </w:p>
    <w:p>
      <w:pPr>
        <w:rPr>
          <w:rFonts w:hint="eastAsia"/>
        </w:rPr>
      </w:pPr>
      <w:r>
        <w:rPr>
          <w:rFonts w:hint="eastAsia"/>
        </w:rPr>
        <w:t>5）若有开放性胸部伤，立即取半卧立，对胸壁伤口应进行严密封闭包扎。使开放性气胸改变成闭合性气胸，速送医院。救护人员中若能断定张力性气胸者，有条件时可行穿刺排气或上胸部置引流管。</w:t>
      </w:r>
    </w:p>
    <w:p>
      <w:pPr>
        <w:pStyle w:val="3"/>
        <w:rPr>
          <w:rFonts w:hint="eastAsia"/>
        </w:rPr>
      </w:pPr>
      <w:bookmarkStart w:id="22" w:name="_Toc11091"/>
      <w:bookmarkStart w:id="23" w:name="_Toc13978"/>
      <w:r>
        <w:rPr>
          <w:rFonts w:hint="eastAsia"/>
          <w:lang w:val="en-US" w:eastAsia="zh-CN"/>
        </w:rPr>
        <w:t>7.3</w:t>
      </w:r>
      <w:r>
        <w:rPr>
          <w:rFonts w:hint="eastAsia"/>
        </w:rPr>
        <w:t>应急准备</w:t>
      </w:r>
      <w:bookmarkEnd w:id="22"/>
      <w:bookmarkEnd w:id="23"/>
    </w:p>
    <w:p>
      <w:pPr>
        <w:rPr>
          <w:rFonts w:hint="eastAsia"/>
        </w:rPr>
      </w:pPr>
      <w:r>
        <w:rPr>
          <w:rFonts w:hint="eastAsia"/>
        </w:rPr>
        <w:t>1、公司应急救援领导小组成员名单</w:t>
      </w:r>
    </w:p>
    <w:tbl>
      <w:tblPr>
        <w:tblStyle w:val="14"/>
        <w:tblW w:w="9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474"/>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vAlign w:val="center"/>
          </w:tcPr>
          <w:p>
            <w:pPr>
              <w:pStyle w:val="20"/>
              <w:rPr>
                <w:rFonts w:hint="eastAsia"/>
              </w:rPr>
            </w:pPr>
            <w:r>
              <w:rPr>
                <w:rFonts w:hint="eastAsia"/>
              </w:rPr>
              <w:t>姓   名</w:t>
            </w:r>
          </w:p>
        </w:tc>
        <w:tc>
          <w:tcPr>
            <w:tcW w:w="2130" w:type="dxa"/>
            <w:vAlign w:val="center"/>
          </w:tcPr>
          <w:p>
            <w:pPr>
              <w:pStyle w:val="20"/>
              <w:rPr>
                <w:rFonts w:hint="eastAsia"/>
              </w:rPr>
            </w:pPr>
            <w:r>
              <w:rPr>
                <w:rFonts w:hint="eastAsia"/>
              </w:rPr>
              <w:t>救援小组职务</w:t>
            </w:r>
          </w:p>
        </w:tc>
        <w:tc>
          <w:tcPr>
            <w:tcW w:w="2474" w:type="dxa"/>
            <w:vAlign w:val="center"/>
          </w:tcPr>
          <w:p>
            <w:pPr>
              <w:pStyle w:val="20"/>
              <w:rPr>
                <w:rFonts w:hint="eastAsia"/>
              </w:rPr>
            </w:pPr>
            <w:r>
              <w:rPr>
                <w:rFonts w:hint="eastAsia"/>
              </w:rPr>
              <w:t>部门职务</w:t>
            </w:r>
          </w:p>
        </w:tc>
        <w:tc>
          <w:tcPr>
            <w:tcW w:w="2474" w:type="dxa"/>
            <w:vAlign w:val="center"/>
          </w:tcPr>
          <w:p>
            <w:pPr>
              <w:pStyle w:val="20"/>
              <w:rPr>
                <w:rFonts w:hint="default" w:eastAsia="宋体"/>
                <w:lang w:val="en-US" w:eastAsia="zh-CN"/>
              </w:rPr>
            </w:pPr>
            <w:r>
              <w:rPr>
                <w:rFonts w:hint="eastAsia"/>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20"/>
              <w:rPr>
                <w:rFonts w:hint="eastAsia"/>
                <w:lang w:eastAsia="zh-CN"/>
              </w:rPr>
            </w:pPr>
            <w:r>
              <w:rPr>
                <w:rFonts w:hint="eastAsia"/>
                <w:lang w:val="en-US" w:eastAsia="zh-CN"/>
              </w:rPr>
              <w:t>张腾</w:t>
            </w:r>
          </w:p>
        </w:tc>
        <w:tc>
          <w:tcPr>
            <w:tcW w:w="2130" w:type="dxa"/>
            <w:vAlign w:val="center"/>
          </w:tcPr>
          <w:p>
            <w:pPr>
              <w:pStyle w:val="20"/>
              <w:rPr>
                <w:rFonts w:hint="eastAsia"/>
              </w:rPr>
            </w:pPr>
            <w:r>
              <w:rPr>
                <w:rFonts w:hint="eastAsia"/>
              </w:rPr>
              <w:t>组长</w:t>
            </w:r>
          </w:p>
        </w:tc>
        <w:tc>
          <w:tcPr>
            <w:tcW w:w="2474" w:type="dxa"/>
            <w:vAlign w:val="center"/>
          </w:tcPr>
          <w:p>
            <w:pPr>
              <w:pStyle w:val="20"/>
              <w:rPr>
                <w:rFonts w:hint="eastAsia"/>
              </w:rPr>
            </w:pPr>
            <w:r>
              <w:rPr>
                <w:rFonts w:hint="eastAsia"/>
                <w:lang w:val="en-US" w:eastAsia="zh-CN"/>
              </w:rPr>
              <w:t>生产</w:t>
            </w:r>
            <w:r>
              <w:rPr>
                <w:rFonts w:hint="eastAsia"/>
              </w:rPr>
              <w:t>经理</w:t>
            </w:r>
          </w:p>
        </w:tc>
        <w:tc>
          <w:tcPr>
            <w:tcW w:w="2474" w:type="dxa"/>
            <w:vAlign w:val="center"/>
          </w:tcPr>
          <w:p>
            <w:pPr>
              <w:pStyle w:val="20"/>
              <w:rPr>
                <w:rFonts w:hint="default" w:eastAsia="宋体"/>
                <w:lang w:val="en-US" w:eastAsia="zh-CN"/>
              </w:rPr>
            </w:pPr>
            <w:r>
              <w:rPr>
                <w:rFonts w:hint="eastAsia"/>
                <w:lang w:val="en-US" w:eastAsia="zh-CN"/>
              </w:rPr>
              <w:t>13253391777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20"/>
              <w:rPr>
                <w:rFonts w:hint="eastAsia"/>
                <w:lang w:eastAsia="zh-CN"/>
              </w:rPr>
            </w:pPr>
            <w:r>
              <w:rPr>
                <w:rFonts w:hint="eastAsia"/>
                <w:lang w:val="en-US" w:eastAsia="zh-CN"/>
              </w:rPr>
              <w:t>秦晨光</w:t>
            </w:r>
          </w:p>
        </w:tc>
        <w:tc>
          <w:tcPr>
            <w:tcW w:w="2130" w:type="dxa"/>
            <w:vAlign w:val="center"/>
          </w:tcPr>
          <w:p>
            <w:pPr>
              <w:pStyle w:val="20"/>
              <w:rPr>
                <w:rFonts w:hint="eastAsia"/>
              </w:rPr>
            </w:pPr>
            <w:r>
              <w:rPr>
                <w:rFonts w:hint="eastAsia"/>
              </w:rPr>
              <w:t>副组长</w:t>
            </w:r>
          </w:p>
        </w:tc>
        <w:tc>
          <w:tcPr>
            <w:tcW w:w="2474" w:type="dxa"/>
            <w:vAlign w:val="center"/>
          </w:tcPr>
          <w:p>
            <w:pPr>
              <w:pStyle w:val="20"/>
              <w:rPr>
                <w:rFonts w:hint="eastAsia"/>
              </w:rPr>
            </w:pPr>
            <w:r>
              <w:rPr>
                <w:rFonts w:hint="eastAsia"/>
              </w:rPr>
              <w:t>安全</w:t>
            </w:r>
            <w:r>
              <w:rPr>
                <w:rFonts w:hint="eastAsia"/>
                <w:lang w:val="en-US" w:eastAsia="zh-CN"/>
              </w:rPr>
              <w:t>主管</w:t>
            </w:r>
          </w:p>
        </w:tc>
        <w:tc>
          <w:tcPr>
            <w:tcW w:w="2474" w:type="dxa"/>
            <w:vAlign w:val="center"/>
          </w:tcPr>
          <w:p>
            <w:pPr>
              <w:pStyle w:val="20"/>
              <w:rPr>
                <w:rFonts w:hint="default" w:eastAsia="宋体"/>
                <w:lang w:val="en-US" w:eastAsia="zh-CN"/>
              </w:rPr>
            </w:pPr>
            <w:r>
              <w:rPr>
                <w:rFonts w:hint="eastAsia"/>
                <w:lang w:val="en-US" w:eastAsia="zh-CN"/>
              </w:rPr>
              <w:t>18338019775</w:t>
            </w:r>
          </w:p>
        </w:tc>
      </w:tr>
    </w:tbl>
    <w:p>
      <w:pPr>
        <w:rPr>
          <w:rFonts w:hint="eastAsia"/>
        </w:rPr>
      </w:pPr>
      <w:r>
        <w:rPr>
          <w:rFonts w:hint="eastAsia"/>
        </w:rPr>
        <w:t>2、公司应急救援领导小组职责</w:t>
      </w:r>
    </w:p>
    <w:p>
      <w:pPr>
        <w:rPr>
          <w:rFonts w:hint="eastAsia"/>
        </w:rPr>
      </w:pPr>
      <w:r>
        <w:rPr>
          <w:rFonts w:hint="eastAsia"/>
        </w:rPr>
        <w:t>领导小组常设机构项目部，承担起重机械在安装、顶升（降节）拆除及使用作业过程中突发事件的日常工作，指导和监督起重机械安装和操作人员安全防范工作。在接到突发事件通知第一时间立即向领导小组组长及成员报告，并根据事发情况制定所要采取的救援措施。</w:t>
      </w:r>
    </w:p>
    <w:p>
      <w:pPr>
        <w:rPr>
          <w:rFonts w:hint="eastAsia"/>
        </w:rPr>
      </w:pPr>
      <w:r>
        <w:rPr>
          <w:rFonts w:hint="eastAsia"/>
        </w:rPr>
        <w:t>3、应急救援队职责</w:t>
      </w:r>
    </w:p>
    <w:p>
      <w:pPr>
        <w:rPr>
          <w:rFonts w:hint="eastAsia"/>
        </w:rPr>
      </w:pPr>
      <w:r>
        <w:rPr>
          <w:rFonts w:hint="eastAsia"/>
        </w:rPr>
        <w:t>应急救援队是对起重设备突发事故予以施救和抢险的常设机构。其成员均受过起重机械专业知识培训，并取得国家颁发的特种作业操作证且具有应急救援工作经验，是我公司职工队伍中的技术骨干。应急救援队在接到公司应急救援领导小组的指令后，立即赶赴事故现场，采取紧急措施，尽一切可能抢救伤员，并根据施工方案，将起重机械解体拆除，防止事故进一步扩大。</w:t>
      </w:r>
    </w:p>
    <w:p>
      <w:pPr>
        <w:rPr>
          <w:rFonts w:hint="eastAsia"/>
        </w:rPr>
      </w:pPr>
      <w:r>
        <w:rPr>
          <w:rFonts w:hint="eastAsia"/>
          <w:lang w:val="en-US" w:eastAsia="zh-CN"/>
        </w:rPr>
        <w:t>4</w:t>
      </w:r>
      <w:r>
        <w:rPr>
          <w:rFonts w:hint="eastAsia"/>
        </w:rPr>
        <w:t>、救援物资准备</w:t>
      </w:r>
    </w:p>
    <w:p>
      <w:pPr>
        <w:rPr>
          <w:rFonts w:hint="eastAsia"/>
        </w:rPr>
      </w:pPr>
      <w:r>
        <w:rPr>
          <w:rFonts w:hint="eastAsia"/>
        </w:rPr>
        <w:t>1）载人小车一台</w:t>
      </w:r>
    </w:p>
    <w:p>
      <w:pPr>
        <w:rPr>
          <w:rFonts w:hint="eastAsia"/>
        </w:rPr>
      </w:pPr>
      <w:r>
        <w:rPr>
          <w:rFonts w:hint="eastAsia"/>
        </w:rPr>
        <w:t>2</w:t>
      </w:r>
      <w:r>
        <w:rPr>
          <w:rFonts w:hint="eastAsia"/>
          <w:lang w:eastAsia="zh-CN"/>
        </w:rPr>
        <w:t>）</w:t>
      </w:r>
      <w:r>
        <w:rPr>
          <w:rFonts w:hint="eastAsia"/>
        </w:rPr>
        <w:t>外协大吨位吊车（80~120吨）</w:t>
      </w:r>
    </w:p>
    <w:p>
      <w:pPr>
        <w:rPr>
          <w:rFonts w:hint="eastAsia"/>
        </w:rPr>
      </w:pPr>
      <w:r>
        <w:rPr>
          <w:rFonts w:hint="eastAsia"/>
        </w:rPr>
        <w:t>3）工具准备</w:t>
      </w:r>
    </w:p>
    <w:p>
      <w:pPr>
        <w:rPr>
          <w:rFonts w:hint="eastAsia"/>
        </w:rPr>
      </w:pPr>
      <w:r>
        <w:rPr>
          <w:rFonts w:hint="eastAsia"/>
        </w:rPr>
        <w:t>a、钢丝绳、绳卡、卸扣等吊索具</w:t>
      </w:r>
    </w:p>
    <w:p>
      <w:pPr>
        <w:rPr>
          <w:rFonts w:hint="eastAsia"/>
        </w:rPr>
      </w:pPr>
      <w:r>
        <w:rPr>
          <w:rFonts w:hint="eastAsia"/>
        </w:rPr>
        <w:t>b、氧气、乙炔各两瓶</w:t>
      </w:r>
    </w:p>
    <w:p>
      <w:pPr>
        <w:rPr>
          <w:rFonts w:hint="eastAsia"/>
        </w:rPr>
      </w:pPr>
      <w:r>
        <w:rPr>
          <w:rFonts w:hint="eastAsia"/>
        </w:rPr>
        <w:t>c、专用工具、撬扛、手拉（电动）葫芦等工具</w:t>
      </w:r>
    </w:p>
    <w:p>
      <w:pPr>
        <w:rPr>
          <w:rFonts w:hint="eastAsia"/>
        </w:rPr>
      </w:pPr>
      <w:r>
        <w:rPr>
          <w:rFonts w:hint="eastAsia"/>
        </w:rPr>
        <w:t>4）照明器材</w:t>
      </w:r>
    </w:p>
    <w:p>
      <w:pPr>
        <w:rPr>
          <w:rFonts w:hint="eastAsia"/>
        </w:rPr>
      </w:pPr>
      <w:r>
        <w:rPr>
          <w:rFonts w:hint="eastAsia"/>
        </w:rPr>
        <w:t>应急灯、36V以下安全线路及灯具、手电筒等。</w:t>
      </w:r>
    </w:p>
    <w:p>
      <w:pPr>
        <w:pStyle w:val="3"/>
        <w:rPr>
          <w:rFonts w:hint="eastAsia"/>
        </w:rPr>
      </w:pPr>
      <w:bookmarkStart w:id="24" w:name="_Toc26563"/>
      <w:bookmarkStart w:id="25" w:name="_Toc26664"/>
      <w:r>
        <w:rPr>
          <w:rFonts w:hint="eastAsia"/>
          <w:lang w:val="en-US" w:eastAsia="zh-CN"/>
        </w:rPr>
        <w:t>7.4</w:t>
      </w:r>
      <w:r>
        <w:rPr>
          <w:rFonts w:hint="eastAsia"/>
        </w:rPr>
        <w:t>应急响应</w:t>
      </w:r>
      <w:bookmarkEnd w:id="24"/>
      <w:bookmarkEnd w:id="25"/>
    </w:p>
    <w:p>
      <w:pPr>
        <w:rPr>
          <w:rFonts w:hint="eastAsia"/>
        </w:rPr>
      </w:pPr>
      <w:r>
        <w:rPr>
          <w:rFonts w:hint="eastAsia"/>
        </w:rPr>
        <w:t>1、在接到突发性事故的第一时间内，立即通知组织应急救援领导小组相关成员和应急救成员以及相关车辆驾驶人员，准备好各种工具及必须的资金，立即赶赴事发现场。</w:t>
      </w:r>
    </w:p>
    <w:p>
      <w:pPr>
        <w:rPr>
          <w:rFonts w:hint="eastAsia"/>
        </w:rPr>
      </w:pPr>
      <w:r>
        <w:rPr>
          <w:rFonts w:hint="eastAsia"/>
        </w:rPr>
        <w:t>2、在地方有关职能部门的指导协调下，以最快的速度尽一切力量抢救伤员，并根据起重机事发现状制定相应的设备拆除方案。在确保安全的情况下尽快将设备拆除，以防止事故进一步扩大。</w:t>
      </w:r>
    </w:p>
    <w:p>
      <w:pPr>
        <w:rPr>
          <w:rFonts w:hint="eastAsia"/>
        </w:rPr>
      </w:pPr>
      <w:r>
        <w:rPr>
          <w:rFonts w:hint="eastAsia"/>
        </w:rPr>
        <w:t>3、积极配合并协助当地政府职能部门做好事故的调查取证工作，认真分析事故原因，实事的写出事故分析报告，并根据政府权威部门关于事故鉴定及责任的划分，承担本公司应负相应责任。</w:t>
      </w:r>
    </w:p>
    <w:p>
      <w:pPr>
        <w:rPr>
          <w:rFonts w:hint="eastAsia"/>
        </w:rPr>
      </w:pPr>
      <w:r>
        <w:rPr>
          <w:rFonts w:hint="eastAsia"/>
        </w:rPr>
        <w:t>4、发重重大危险事故或险情时，及时向社会求助：</w:t>
      </w:r>
    </w:p>
    <w:p>
      <w:pPr>
        <w:rPr>
          <w:rFonts w:hint="eastAsia"/>
        </w:rPr>
      </w:pPr>
      <w:r>
        <w:rPr>
          <w:rFonts w:hint="eastAsia"/>
        </w:rPr>
        <w:t>火警119；      救护120；     报警110</w:t>
      </w:r>
    </w:p>
    <w:p>
      <w:pPr>
        <w:pStyle w:val="3"/>
        <w:bidi w:val="0"/>
      </w:pPr>
      <w:bookmarkStart w:id="26" w:name="_Toc17208662"/>
      <w:bookmarkStart w:id="27" w:name="_Toc10090"/>
      <w:bookmarkStart w:id="28" w:name="_Toc455738283"/>
      <w:bookmarkStart w:id="29" w:name="_Toc2817"/>
      <w:bookmarkStart w:id="30" w:name="_Toc9121"/>
      <w:bookmarkStart w:id="31" w:name="_Toc452891121"/>
      <w:bookmarkStart w:id="32" w:name="_Toc28447"/>
      <w:bookmarkStart w:id="33" w:name="_Toc413852021"/>
      <w:bookmarkStart w:id="34" w:name="_Toc26809"/>
      <w:bookmarkStart w:id="35" w:name="_Toc243131046"/>
      <w:bookmarkStart w:id="36" w:name="_Toc231984003"/>
      <w:bookmarkStart w:id="37" w:name="_Toc238653315"/>
      <w:r>
        <w:rPr>
          <w:rFonts w:hint="eastAsia"/>
          <w:lang w:val="en-US" w:eastAsia="zh-CN"/>
        </w:rPr>
        <w:t>7.5</w:t>
      </w:r>
      <w:r>
        <w:rPr>
          <w:rFonts w:hint="eastAsia"/>
        </w:rPr>
        <w:t>相关联系方式及就医路线图</w:t>
      </w:r>
      <w:bookmarkEnd w:id="26"/>
      <w:bookmarkEnd w:id="27"/>
      <w:bookmarkEnd w:id="28"/>
      <w:bookmarkEnd w:id="29"/>
      <w:bookmarkEnd w:id="30"/>
      <w:bookmarkEnd w:id="31"/>
      <w:bookmarkEnd w:id="32"/>
      <w:bookmarkEnd w:id="33"/>
      <w:bookmarkEnd w:id="34"/>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rPr>
      </w:pPr>
      <w:r>
        <w:rPr>
          <w:rFonts w:hint="eastAsia" w:ascii="宋体" w:hAnsi="宋体"/>
        </w:rPr>
        <w:t>1、相关联系方式</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Microsoft YaHei UI" w:hAnsi="Microsoft YaHei UI" w:eastAsia="Microsoft YaHei UI" w:cs="Microsoft YaHei UI"/>
          <w:i w:val="0"/>
          <w:iCs w:val="0"/>
          <w:caps w:val="0"/>
          <w:color w:val="555555"/>
          <w:spacing w:val="0"/>
          <w:sz w:val="16"/>
          <w:szCs w:val="16"/>
          <w:shd w:val="clear" w:fill="F1F1F1"/>
        </w:rPr>
      </w:pPr>
      <w:r>
        <w:rPr>
          <w:rFonts w:hint="eastAsia" w:ascii="宋体" w:hAnsi="宋体"/>
        </w:rPr>
        <w:t>就医医院电话：</w:t>
      </w:r>
      <w:r>
        <w:rPr>
          <w:rFonts w:hint="eastAsia" w:ascii="宋体" w:hAnsi="宋体"/>
          <w:lang w:val="en-US" w:eastAsia="zh-CN"/>
        </w:rPr>
        <w:t>郑州市惠济区人民医院</w:t>
      </w:r>
      <w:r>
        <w:t>0371-56183505</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rPr>
      </w:pPr>
      <w:r>
        <w:rPr>
          <w:rFonts w:hint="eastAsia" w:ascii="宋体" w:hAnsi="宋体"/>
        </w:rPr>
        <w:t>就医医院地址：</w:t>
      </w:r>
      <w:r>
        <w:t>郑州市惠济区开元路76号</w:t>
      </w:r>
    </w:p>
    <w:p>
      <w:r>
        <w:rPr>
          <w:rFonts w:hint="eastAsia"/>
        </w:rPr>
        <w:t>2、 就医路线图如下：</w:t>
      </w:r>
    </w:p>
    <w:bookmarkEnd w:id="35"/>
    <w:bookmarkEnd w:id="36"/>
    <w:bookmarkEnd w:id="37"/>
    <w:p>
      <w:pPr>
        <w:bidi w:val="0"/>
        <w:rPr>
          <w:rFonts w:hint="eastAsia"/>
          <w:lang w:val="en-US" w:eastAsia="zh-CN"/>
        </w:rPr>
      </w:pPr>
      <w:r>
        <w:rPr>
          <w:rFonts w:hint="eastAsia"/>
          <w:lang w:val="en-US" w:eastAsia="zh-CN"/>
        </w:rPr>
        <w:t xml:space="preserve">路线：天元路→金杯北路→开元路→惠济人民医院。全程约1.8公里，行程约 7分钟，途径6个红绿灯。 </w:t>
      </w:r>
    </w:p>
    <w:p>
      <w:pPr>
        <w:bidi w:val="0"/>
        <w:rPr>
          <w:rFonts w:hint="default"/>
          <w:lang w:val="en-US" w:eastAsia="zh-CN"/>
        </w:rPr>
      </w:pPr>
      <w:r>
        <w:rPr>
          <w:rFonts w:hint="eastAsia"/>
          <w:lang w:val="en-US" w:eastAsia="zh-CN"/>
        </w:rPr>
        <w:t>导航起点：云萃苑项目（在建）</w:t>
      </w:r>
    </w:p>
    <w:p>
      <w:pPr>
        <w:bidi w:val="0"/>
        <w:rPr>
          <w:rFonts w:hint="eastAsia" w:ascii="宋体" w:hAnsi="宋体"/>
          <w:szCs w:val="21"/>
        </w:rPr>
      </w:pPr>
      <w:r>
        <w:rPr>
          <w:rFonts w:hint="eastAsia"/>
          <w:lang w:val="en-US" w:eastAsia="zh-CN"/>
        </w:rPr>
        <w:t>导航终点：</w:t>
      </w:r>
      <w:r>
        <w:rPr>
          <w:rFonts w:hint="eastAsia" w:ascii="宋体" w:hAnsi="宋体"/>
          <w:lang w:val="en-US" w:eastAsia="zh-CN"/>
        </w:rPr>
        <w:t>郑州市惠济区人民医院</w:t>
      </w:r>
    </w:p>
    <w:p>
      <w:pPr>
        <w:keepNext w:val="0"/>
        <w:keepLines w:val="0"/>
        <w:pageBreakBefore w:val="0"/>
        <w:widowControl w:val="0"/>
        <w:kinsoku/>
        <w:wordWrap/>
        <w:overflowPunct/>
        <w:topLinePunct w:val="0"/>
        <w:autoSpaceDE/>
        <w:autoSpaceDN/>
        <w:bidi w:val="0"/>
        <w:adjustRightInd/>
        <w:snapToGrid/>
        <w:spacing w:line="312" w:lineRule="auto"/>
        <w:ind w:left="0" w:leftChars="0" w:right="0" w:rightChars="0" w:firstLine="0" w:firstLineChars="0"/>
        <w:jc w:val="both"/>
        <w:textAlignment w:val="auto"/>
        <w:outlineLvl w:val="9"/>
        <w:rPr>
          <w:rFonts w:hint="eastAsia" w:ascii="宋体" w:hAnsi="宋体"/>
          <w:szCs w:val="21"/>
        </w:rPr>
      </w:pPr>
    </w:p>
    <w:p>
      <w:pPr>
        <w:pStyle w:val="7"/>
        <w:ind w:left="0" w:leftChars="0" w:firstLine="0" w:firstLineChars="0"/>
        <w:rPr>
          <w:rFonts w:hint="default"/>
          <w:lang w:val="en-US"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3580130</wp:posOffset>
                </wp:positionH>
                <wp:positionV relativeFrom="paragraph">
                  <wp:posOffset>90805</wp:posOffset>
                </wp:positionV>
                <wp:extent cx="693420" cy="245745"/>
                <wp:effectExtent l="6350" t="6350" r="16510" b="6985"/>
                <wp:wrapNone/>
                <wp:docPr id="24" name="矩形 24"/>
                <wp:cNvGraphicFramePr/>
                <a:graphic xmlns:a="http://schemas.openxmlformats.org/drawingml/2006/main">
                  <a:graphicData uri="http://schemas.microsoft.com/office/word/2010/wordprocessingShape">
                    <wps:wsp>
                      <wps:cNvSpPr/>
                      <wps:spPr>
                        <a:xfrm>
                          <a:off x="0" y="0"/>
                          <a:ext cx="693420" cy="245745"/>
                        </a:xfrm>
                        <a:prstGeom prst="rect">
                          <a:avLst/>
                        </a:prstGeom>
                        <a:solidFill>
                          <a:srgbClr val="FFC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ind w:left="0" w:leftChars="0" w:firstLine="0" w:firstLineChars="0"/>
                              <w:jc w:val="left"/>
                              <w:rPr>
                                <w:rFonts w:hint="default" w:eastAsia="宋体"/>
                                <w:b/>
                                <w:bCs/>
                                <w:color w:val="FF0000"/>
                                <w:lang w:val="en-US" w:eastAsia="zh-CN"/>
                              </w:rPr>
                            </w:pPr>
                            <w:r>
                              <w:rPr>
                                <w:rFonts w:hint="eastAsia" w:eastAsia="宋体"/>
                                <w:b/>
                                <w:bCs/>
                                <w:color w:val="FF0000"/>
                                <w:lang w:val="en-US" w:eastAsia="zh-CN"/>
                              </w:rPr>
                              <w:t>惠济医院</w:t>
                            </w:r>
                          </w:p>
                        </w:txbxContent>
                      </wps:txbx>
                      <wps:bodyPr rot="0" spcFirstLastPara="0" vertOverflow="overflow" horzOverflow="overflow" vert="horz" wrap="square" lIns="0" tIns="0" rIns="0" bIns="0" numCol="1" spcCol="0" rtlCol="0" fromWordArt="0" anchor="ctr" anchorCtr="0" forceAA="0" compatLnSpc="1">
                        <a:spAutoFit/>
                      </wps:bodyPr>
                    </wps:wsp>
                  </a:graphicData>
                </a:graphic>
              </wp:anchor>
            </w:drawing>
          </mc:Choice>
          <mc:Fallback>
            <w:pict>
              <v:rect id="_x0000_s1026" o:spid="_x0000_s1026" o:spt="1" style="position:absolute;left:0pt;margin-left:281.9pt;margin-top:7.15pt;height:19.35pt;width:54.6pt;z-index:251668480;v-text-anchor:middle;mso-width-relative:page;mso-height-relative:page;" fillcolor="#FFC000" filled="t" stroked="t" coordsize="21600,21600" o:gfxdata="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HJdrdYAAAAJAQAADwAAAAAAAAABACAAAAAiAAAAZHJzL2Rvd25yZXYu&#10;eG1sUEsBAhQAFAAAAAgAh07iQNMk/MhvAgAA8AQAAA4AAAAAAAAAAQAgAAAAJQEAAGRycy9lMm9E&#10;b2MueG1sUEsFBgAAAAAGAAYAWQEAAAYGAAAAAA==&#10;">
                <v:fill on="t" focussize="0,0"/>
                <v:stroke weight="1pt" color="#FF0000 [2404]" miterlimit="8" joinstyle="miter"/>
                <v:imagedata o:title=""/>
                <o:lock v:ext="edit" aspectratio="f"/>
                <v:textbox inset="0mm,0mm,0mm,0mm" style="mso-fit-shape-to-text:t;">
                  <w:txbxContent>
                    <w:p>
                      <w:pPr>
                        <w:ind w:left="0" w:leftChars="0" w:firstLine="0" w:firstLineChars="0"/>
                        <w:jc w:val="left"/>
                        <w:rPr>
                          <w:rFonts w:hint="default" w:eastAsia="宋体"/>
                          <w:b/>
                          <w:bCs/>
                          <w:color w:val="FF0000"/>
                          <w:lang w:val="en-US" w:eastAsia="zh-CN"/>
                        </w:rPr>
                      </w:pPr>
                      <w:r>
                        <w:rPr>
                          <w:rFonts w:hint="eastAsia" w:eastAsia="宋体"/>
                          <w:b/>
                          <w:bCs/>
                          <w:color w:val="FF0000"/>
                          <w:lang w:val="en-US" w:eastAsia="zh-CN"/>
                        </w:rPr>
                        <w:t>惠济医院</w:t>
                      </w:r>
                    </w:p>
                  </w:txbxContent>
                </v:textbox>
              </v:rect>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1310640</wp:posOffset>
                </wp:positionH>
                <wp:positionV relativeFrom="paragraph">
                  <wp:posOffset>2851150</wp:posOffset>
                </wp:positionV>
                <wp:extent cx="447675" cy="447675"/>
                <wp:effectExtent l="19050" t="21590" r="20955" b="18415"/>
                <wp:wrapNone/>
                <wp:docPr id="22" name="五角星 22"/>
                <wp:cNvGraphicFramePr/>
                <a:graphic xmlns:a="http://schemas.openxmlformats.org/drawingml/2006/main">
                  <a:graphicData uri="http://schemas.microsoft.com/office/word/2010/wordprocessingShape">
                    <wps:wsp>
                      <wps:cNvSpPr/>
                      <wps:spPr>
                        <a:xfrm>
                          <a:off x="2523490" y="4157345"/>
                          <a:ext cx="447675" cy="447675"/>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3.2pt;margin-top:224.5pt;height:35.25pt;width:35.25pt;z-index:251666432;v-text-anchor:middle;mso-width-relative:page;mso-height-relative:page;" fillcolor="#FF0000" filled="t" stroked="t" coordsize="447675,447675" o:gfxdata="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JVhaXaAAAACwEAAA8AAAAAAAAAAQAg&#10;AAAAIgAAAGRycy9kb3ducmV2LnhtbFBLAQIUABQAAAAIAIdO4kAAYBcBfgIAAAUFAAAOAAAAAAAA&#10;AAEAIAAAACkBAABkcnMvZTJvRG9jLnhtbFBLBQYAAAAABgAGAFkBAAAZBgAAAAA=&#10;" path="m0,170996l170997,170997,223837,0,276677,170997,447674,170996,309334,276677,362176,447673,223837,341990,85498,447673,138340,276677xe">
                <v:path o:connectlocs="223837,0;0,170996;85498,447673;362176,447673;447674,170996" o:connectangles="247,164,82,82,0"/>
                <v:fill on="t" focussize="0,0"/>
                <v:stroke weight="1pt" color="#FF0000 [2404]" miterlimit="8" joinstyle="miter"/>
                <v:imagedata o:title=""/>
                <o:lock v:ext="edit" aspectratio="f"/>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1428115</wp:posOffset>
                </wp:positionH>
                <wp:positionV relativeFrom="paragraph">
                  <wp:posOffset>3342005</wp:posOffset>
                </wp:positionV>
                <wp:extent cx="525145" cy="245745"/>
                <wp:effectExtent l="6350" t="6350" r="17145" b="6985"/>
                <wp:wrapNone/>
                <wp:docPr id="23" name="矩形 23"/>
                <wp:cNvGraphicFramePr/>
                <a:graphic xmlns:a="http://schemas.openxmlformats.org/drawingml/2006/main">
                  <a:graphicData uri="http://schemas.microsoft.com/office/word/2010/wordprocessingShape">
                    <wps:wsp>
                      <wps:cNvSpPr/>
                      <wps:spPr>
                        <a:xfrm>
                          <a:off x="2675890" y="4580255"/>
                          <a:ext cx="525145" cy="245745"/>
                        </a:xfrm>
                        <a:prstGeom prst="rect">
                          <a:avLst/>
                        </a:prstGeom>
                        <a:solidFill>
                          <a:srgbClr val="FFC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ind w:left="0" w:leftChars="0" w:firstLine="0" w:firstLineChars="0"/>
                              <w:jc w:val="left"/>
                              <w:rPr>
                                <w:rFonts w:hint="default" w:eastAsia="宋体"/>
                                <w:b/>
                                <w:bCs/>
                                <w:color w:val="FF0000"/>
                                <w:lang w:val="en-US" w:eastAsia="zh-CN"/>
                              </w:rPr>
                            </w:pPr>
                            <w:r>
                              <w:rPr>
                                <w:rFonts w:hint="eastAsia"/>
                                <w:b/>
                                <w:bCs/>
                                <w:color w:val="FF0000"/>
                                <w:lang w:val="en-US" w:eastAsia="zh-CN"/>
                              </w:rPr>
                              <w:t>项目部</w:t>
                            </w:r>
                          </w:p>
                        </w:txbxContent>
                      </wps:txbx>
                      <wps:bodyPr rot="0" spcFirstLastPara="0" vertOverflow="overflow" horzOverflow="overflow" vert="horz" wrap="square" lIns="0" tIns="0" rIns="0" bIns="0" numCol="1" spcCol="0" rtlCol="0" fromWordArt="0" anchor="ctr" anchorCtr="0" forceAA="0" compatLnSpc="1">
                        <a:spAutoFit/>
                      </wps:bodyPr>
                    </wps:wsp>
                  </a:graphicData>
                </a:graphic>
              </wp:anchor>
            </w:drawing>
          </mc:Choice>
          <mc:Fallback>
            <w:pict>
              <v:rect id="_x0000_s1026" o:spid="_x0000_s1026" o:spt="1" style="position:absolute;left:0pt;margin-left:112.45pt;margin-top:263.15pt;height:19.35pt;width:41.35pt;z-index:251667456;v-text-anchor:middle;mso-width-relative:page;mso-height-relative:page;" fillcolor="#FFC000" filled="t" stroked="t" coordsize="21600,21600" o:gfxdata="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eN89P2gAAAAsBAAAPAAAAAAAAAAEAIAAA&#10;ACIAAABkcnMvZG93bnJldi54bWxQSwECFAAUAAAACACHTuJAJAqo4HwCAAD8BAAADgAAAAAAAAAB&#10;ACAAAAApAQAAZHJzL2Uyb0RvYy54bWxQSwUGAAAAAAYABgBZAQAAFwYAAAAA&#10;">
                <v:fill on="t" focussize="0,0"/>
                <v:stroke weight="1pt" color="#FF0000 [2404]" miterlimit="8" joinstyle="miter"/>
                <v:imagedata o:title=""/>
                <o:lock v:ext="edit" aspectratio="f"/>
                <v:textbox inset="0mm,0mm,0mm,0mm" style="mso-fit-shape-to-text:t;">
                  <w:txbxContent>
                    <w:p>
                      <w:pPr>
                        <w:ind w:left="0" w:leftChars="0" w:firstLine="0" w:firstLineChars="0"/>
                        <w:jc w:val="left"/>
                        <w:rPr>
                          <w:rFonts w:hint="default" w:eastAsia="宋体"/>
                          <w:b/>
                          <w:bCs/>
                          <w:color w:val="FF0000"/>
                          <w:lang w:val="en-US" w:eastAsia="zh-CN"/>
                        </w:rPr>
                      </w:pPr>
                      <w:r>
                        <w:rPr>
                          <w:rFonts w:hint="eastAsia"/>
                          <w:b/>
                          <w:bCs/>
                          <w:color w:val="FF0000"/>
                          <w:lang w:val="en-US" w:eastAsia="zh-CN"/>
                        </w:rPr>
                        <w:t>项目部</w:t>
                      </w:r>
                    </w:p>
                  </w:txbxContent>
                </v:textbox>
              </v:rect>
            </w:pict>
          </mc:Fallback>
        </mc:AlternateContent>
      </w:r>
      <w:r>
        <w:rPr>
          <w:rFonts w:hint="default"/>
          <w:lang w:val="en-US" w:eastAsia="zh-CN"/>
        </w:rPr>
        <w:drawing>
          <wp:inline distT="0" distB="0" distL="114300" distR="114300">
            <wp:extent cx="5642610" cy="4246245"/>
            <wp:effectExtent l="0" t="0" r="11430" b="5715"/>
            <wp:docPr id="21" name="图片 21" descr="169375934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93759344227"/>
                    <pic:cNvPicPr>
                      <a:picLocks noChangeAspect="1"/>
                    </pic:cNvPicPr>
                  </pic:nvPicPr>
                  <pic:blipFill>
                    <a:blip r:embed="rId13"/>
                    <a:stretch>
                      <a:fillRect/>
                    </a:stretch>
                  </pic:blipFill>
                  <pic:spPr>
                    <a:xfrm>
                      <a:off x="0" y="0"/>
                      <a:ext cx="5642610" cy="4246245"/>
                    </a:xfrm>
                    <a:prstGeom prst="rect">
                      <a:avLst/>
                    </a:prstGeom>
                  </pic:spPr>
                </pic:pic>
              </a:graphicData>
            </a:graphic>
          </wp:inline>
        </w:drawing>
      </w:r>
    </w:p>
    <w:sectPr>
      <w:footerReference r:id="rId7" w:type="default"/>
      <w:pgSz w:w="11906" w:h="16838"/>
      <w:pgMar w:top="1417" w:right="1134" w:bottom="1417" w:left="1417" w:header="794" w:footer="992" w:gutter="454"/>
      <w:pgNumType w:fmt="decimal" w:start="1"/>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lear" w:pos="4153"/>
      </w:tabs>
      <w:ind w:right="360" w:rightChars="150" w:firstLine="0" w:firstLineChars="0"/>
      <w:jc w:val="both"/>
      <w:rPr>
        <w:rFonts w:ascii="宋体" w:hAnsi="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rightChars="150" w:firstLine="525" w:firstLineChars="250"/>
      <w:jc w:val="center"/>
      <w:rPr>
        <w:rFonts w:ascii="宋体" w:hAnsi="宋体"/>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lang w:val="en-US" w:eastAsia="zh-CN"/>
                            </w:rPr>
                            <w:t>8</w:t>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0"/>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lang w:val="en-US" w:eastAsia="zh-CN"/>
                      </w:rPr>
                      <w:t>8</w:t>
                    </w:r>
                    <w:r>
                      <w:rPr>
                        <w:rFonts w:hint="eastAsia" w:eastAsia="宋体"/>
                        <w:lang w:eastAsia="zh-CN"/>
                      </w:rPr>
                      <w:t xml:space="preserve"> 页</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ind w:firstLine="480"/>
      </w:pPr>
      <w:r>
        <w:separator/>
      </w:r>
    </w:p>
  </w:footnote>
  <w:footnote w:type="continuationSeparator" w:id="1">
    <w:p>
      <w:pPr>
        <w:spacing w:line="312"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pBdr>
        <w:top w:val="none" w:color="auto" w:sz="0" w:space="0"/>
        <w:left w:val="none" w:color="auto" w:sz="0" w:space="0"/>
        <w:bottom w:val="single" w:color="auto" w:sz="12" w:space="4"/>
        <w:right w:val="none" w:color="auto" w:sz="0" w:space="0"/>
      </w:pBdr>
      <w:kinsoku/>
      <w:wordWrap/>
      <w:overflowPunct/>
      <w:topLinePunct w:val="0"/>
      <w:autoSpaceDE/>
      <w:autoSpaceDN/>
      <w:bidi w:val="0"/>
      <w:adjustRightInd/>
      <w:snapToGrid w:val="0"/>
      <w:spacing w:line="240" w:lineRule="exact"/>
      <w:ind w:left="119" w:firstLine="360"/>
      <w:jc w:val="center"/>
      <w:textAlignment w:val="auto"/>
      <w:rPr>
        <w:u w:val="single"/>
      </w:rPr>
    </w:pPr>
    <w:r>
      <w:rPr>
        <w:rFonts w:hint="eastAsia" w:ascii="宋体" w:hAnsi="宋体" w:cs="宋体"/>
        <w:color w:val="auto"/>
        <w:shd w:val="clear" w:color="auto" w:fill="auto"/>
        <w:lang w:val="en-US" w:eastAsia="zh-CN"/>
      </w:rPr>
      <w:drawing>
        <wp:anchor distT="0" distB="0" distL="114300" distR="114300" simplePos="0" relativeHeight="251663360" behindDoc="0" locked="0" layoutInCell="1" allowOverlap="1">
          <wp:simplePos x="0" y="0"/>
          <wp:positionH relativeFrom="column">
            <wp:posOffset>5080</wp:posOffset>
          </wp:positionH>
          <wp:positionV relativeFrom="paragraph">
            <wp:posOffset>-97790</wp:posOffset>
          </wp:positionV>
          <wp:extent cx="901065" cy="288290"/>
          <wp:effectExtent l="0" t="0" r="13335" b="16510"/>
          <wp:wrapTopAndBottom/>
          <wp:docPr id="43" name="图片 43" descr="lQLPDhsxWLoFvOvNAbzNBW6w5PmDHSx_Sv8CIYXL9wDiAA_1390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lQLPDhsxWLoFvOvNAbzNBW6w5PmDHSx_Sv8CIYXL9wDiAA_1390_444"/>
                  <pic:cNvPicPr>
                    <a:picLocks noChangeAspect="1"/>
                  </pic:cNvPicPr>
                </pic:nvPicPr>
                <pic:blipFill>
                  <a:blip r:embed="rId1"/>
                  <a:stretch>
                    <a:fillRect/>
                  </a:stretch>
                </pic:blipFill>
                <pic:spPr>
                  <a:xfrm>
                    <a:off x="0" y="0"/>
                    <a:ext cx="901065" cy="288290"/>
                  </a:xfrm>
                  <a:prstGeom prst="rect">
                    <a:avLst/>
                  </a:prstGeom>
                </pic:spPr>
              </pic:pic>
            </a:graphicData>
          </a:graphic>
        </wp:anchor>
      </w:drawing>
    </w:r>
    <w:r>
      <w:rPr>
        <w:rFonts w:hint="eastAsia" w:hAnsi="微软雅黑" w:eastAsia="微软雅黑"/>
        <w:b/>
        <w:bCs/>
        <w:color w:val="000000"/>
        <w:kern w:val="24"/>
        <w:lang w:val="en-US" w:eastAsia="zh-CN"/>
      </w:rPr>
      <w:t xml:space="preserve">                                                                </w:t>
    </w:r>
    <w:r>
      <w:rPr>
        <w:rFonts w:hint="eastAsia" w:hAnsi="微软雅黑" w:eastAsia="微软雅黑"/>
        <w:b/>
        <w:bCs/>
        <w:color w:val="000000"/>
        <w:kern w:val="24"/>
      </w:rPr>
      <w:t>品质·服务</w:t>
    </w:r>
    <w:r>
      <w:rPr>
        <w:rFonts w:hAnsi="微软雅黑" w:eastAsia="微软雅黑"/>
        <w:b/>
        <w:bCs/>
        <w:color w:val="000000"/>
        <w:kern w:val="24"/>
      </w:rPr>
      <w:t>·</w:t>
    </w:r>
    <w:r>
      <w:rPr>
        <w:rFonts w:hint="eastAsia" w:hAnsi="微软雅黑" w:eastAsia="微软雅黑"/>
        <w:b/>
        <w:bCs/>
        <w:color w:val="000000"/>
        <w:kern w:val="24"/>
      </w:rPr>
      <w:t>创新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chineseCountingThousand"/>
      <w:suff w:val="space"/>
      <w:lvlText w:val="第%1章 "/>
      <w:lvlJc w:val="center"/>
      <w:pPr>
        <w:ind w:left="3686" w:firstLine="0"/>
      </w:pPr>
      <w:rPr>
        <w:rFonts w:hint="eastAsia"/>
        <w:b/>
        <w:sz w:val="30"/>
        <w:szCs w:val="30"/>
      </w:rPr>
    </w:lvl>
    <w:lvl w:ilvl="1" w:tentative="0">
      <w:start w:val="1"/>
      <w:numFmt w:val="chineseCountingThousand"/>
      <w:suff w:val="space"/>
      <w:lvlText w:val="第%2节"/>
      <w:lvlJc w:val="left"/>
      <w:pPr>
        <w:ind w:left="-623" w:firstLine="0"/>
      </w:pPr>
      <w:rPr>
        <w:rFonts w:hint="eastAsia"/>
      </w:rPr>
    </w:lvl>
    <w:lvl w:ilvl="2" w:tentative="0">
      <w:start w:val="1"/>
      <w:numFmt w:val="decimal"/>
      <w:isLgl/>
      <w:suff w:val="space"/>
      <w:lvlText w:val="%3."/>
      <w:lvlJc w:val="left"/>
      <w:pPr>
        <w:ind w:left="32" w:firstLine="0"/>
      </w:pPr>
      <w:rPr>
        <w:rFonts w:hint="eastAsia"/>
      </w:rPr>
    </w:lvl>
    <w:lvl w:ilvl="3" w:tentative="0">
      <w:start w:val="1"/>
      <w:numFmt w:val="decimal"/>
      <w:pStyle w:val="5"/>
      <w:suff w:val="space"/>
      <w:lvlText w:val="%3.%4."/>
      <w:lvlJc w:val="left"/>
      <w:pPr>
        <w:ind w:left="-83" w:firstLine="0"/>
      </w:pPr>
      <w:rPr>
        <w:rFonts w:hint="eastAsia"/>
      </w:rPr>
    </w:lvl>
    <w:lvl w:ilvl="4" w:tentative="0">
      <w:start w:val="1"/>
      <w:numFmt w:val="decimal"/>
      <w:suff w:val="nothing"/>
      <w:lvlText w:val="%3.%4.%5. "/>
      <w:lvlJc w:val="left"/>
      <w:pPr>
        <w:ind w:left="-339" w:firstLine="567"/>
      </w:pPr>
      <w:rPr>
        <w:rFonts w:hint="eastAsia"/>
      </w:rPr>
    </w:lvl>
    <w:lvl w:ilvl="5" w:tentative="0">
      <w:start w:val="1"/>
      <w:numFmt w:val="decimal"/>
      <w:suff w:val="nothing"/>
      <w:lvlText w:val="%3.%4.%5.%6."/>
      <w:lvlJc w:val="left"/>
      <w:pPr>
        <w:ind w:left="228" w:firstLine="284"/>
      </w:pPr>
      <w:rPr>
        <w:rFonts w:hint="eastAsia" w:ascii="宋体" w:hAnsi="宋体" w:eastAsia="宋体"/>
      </w:rPr>
    </w:lvl>
    <w:lvl w:ilvl="6" w:tentative="0">
      <w:start w:val="1"/>
      <w:numFmt w:val="decimal"/>
      <w:suff w:val="nothing"/>
      <w:lvlText w:val="%7）"/>
      <w:lvlJc w:val="left"/>
      <w:pPr>
        <w:ind w:left="-201" w:firstLine="0"/>
      </w:pPr>
      <w:rPr>
        <w:rFonts w:hint="eastAsia"/>
      </w:rPr>
    </w:lvl>
    <w:lvl w:ilvl="7" w:tentative="0">
      <w:start w:val="1"/>
      <w:numFmt w:val="none"/>
      <w:suff w:val="nothing"/>
      <w:lvlText w:val=""/>
      <w:lvlJc w:val="left"/>
      <w:pPr>
        <w:ind w:left="-201" w:firstLine="0"/>
      </w:pPr>
      <w:rPr>
        <w:rFonts w:hint="eastAsia"/>
      </w:rPr>
    </w:lvl>
    <w:lvl w:ilvl="8" w:tentative="0">
      <w:start w:val="1"/>
      <w:numFmt w:val="none"/>
      <w:suff w:val="nothing"/>
      <w:lvlText w:val=""/>
      <w:lvlJc w:val="left"/>
      <w:pPr>
        <w:ind w:left="-201" w:firstLine="0"/>
      </w:pPr>
      <w:rPr>
        <w:rFonts w:hint="eastAsia"/>
      </w:rPr>
    </w:lvl>
  </w:abstractNum>
  <w:abstractNum w:abstractNumId="1">
    <w:nsid w:val="56B4CCB4"/>
    <w:multiLevelType w:val="singleLevel"/>
    <w:tmpl w:val="56B4CCB4"/>
    <w:lvl w:ilvl="0" w:tentative="0">
      <w:start w:val="1"/>
      <w:numFmt w:val="decimal"/>
      <w:lvlText w:val="%1."/>
      <w:lvlJc w:val="left"/>
      <w:pPr>
        <w:tabs>
          <w:tab w:val="left" w:pos="312"/>
        </w:tabs>
      </w:pPr>
    </w:lvl>
  </w:abstractNum>
  <w:abstractNum w:abstractNumId="2">
    <w:nsid w:val="7944049E"/>
    <w:multiLevelType w:val="multilevel"/>
    <w:tmpl w:val="7944049E"/>
    <w:lvl w:ilvl="0" w:tentative="0">
      <w:start w:val="1"/>
      <w:numFmt w:val="decimal"/>
      <w:pStyle w:val="33"/>
      <w:suff w:val="space"/>
      <w:lvlText w:val="%1."/>
      <w:lvlJc w:val="left"/>
      <w:pPr>
        <w:ind w:left="420" w:hanging="420"/>
      </w:pPr>
      <w:rPr>
        <w:rFonts w:hint="eastAsia"/>
      </w:rPr>
    </w:lvl>
    <w:lvl w:ilvl="1" w:tentative="0">
      <w:start w:val="1"/>
      <w:numFmt w:val="decimal"/>
      <w:suff w:val="space"/>
      <w:lvlText w:val="%1.%2"/>
      <w:lvlJc w:val="left"/>
      <w:pPr>
        <w:ind w:left="369" w:hanging="369"/>
      </w:pPr>
      <w:rPr>
        <w:rFonts w:hint="eastAsia"/>
      </w:rPr>
    </w:lvl>
    <w:lvl w:ilvl="2" w:tentative="0">
      <w:start w:val="1"/>
      <w:numFmt w:val="decimal"/>
      <w:suff w:val="space"/>
      <w:lvlText w:val="%1.%2.%3"/>
      <w:lvlJc w:val="left"/>
      <w:pPr>
        <w:ind w:left="425" w:hanging="425"/>
      </w:pPr>
      <w:rPr>
        <w:rFonts w:hint="eastAsia"/>
      </w:rPr>
    </w:lvl>
    <w:lvl w:ilvl="3" w:tentative="0">
      <w:start w:val="1"/>
      <w:numFmt w:val="decimal"/>
      <w:suff w:val="space"/>
      <w:lvlText w:val="%1.%2.%3.%4"/>
      <w:lvlJc w:val="left"/>
      <w:pPr>
        <w:ind w:left="0" w:firstLine="0"/>
      </w:pPr>
      <w:rPr>
        <w:rFonts w:hint="eastAsia"/>
        <w:color w:val="auto"/>
      </w:rPr>
    </w:lvl>
    <w:lvl w:ilvl="4" w:tentative="0">
      <w:start w:val="1"/>
      <w:numFmt w:val="decimal"/>
      <w:suff w:val="space"/>
      <w:lvlText w:val="%1.%2.%3.%4.%5"/>
      <w:lvlJc w:val="left"/>
      <w:pPr>
        <w:ind w:left="737" w:hanging="737"/>
      </w:pPr>
      <w:rPr>
        <w:rFonts w:hint="eastAsia"/>
      </w:rPr>
    </w:lvl>
    <w:lvl w:ilvl="5" w:tentative="0">
      <w:start w:val="1"/>
      <w:numFmt w:val="decimal"/>
      <w:suff w:val="space"/>
      <w:lvlText w:val="%1.%2.%3.%4.%5.%6"/>
      <w:lvlJc w:val="left"/>
      <w:pPr>
        <w:ind w:left="885" w:hanging="885"/>
      </w:pPr>
      <w:rPr>
        <w:rFonts w:hint="eastAsia"/>
      </w:rPr>
    </w:lvl>
    <w:lvl w:ilvl="6" w:tentative="0">
      <w:start w:val="1"/>
      <w:numFmt w:val="decimal"/>
      <w:suff w:val="space"/>
      <w:lvlText w:val="%1.%2.%3.%4.%5.%6.%7"/>
      <w:lvlJc w:val="left"/>
      <w:pPr>
        <w:ind w:left="1049" w:hanging="1049"/>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4MTRhOWQyMmIwYjMzNzI0OTAxMzc0MjVkMGJmNjAifQ=="/>
  </w:docVars>
  <w:rsids>
    <w:rsidRoot w:val="43A42D2A"/>
    <w:rsid w:val="004A38E3"/>
    <w:rsid w:val="0054216F"/>
    <w:rsid w:val="00663F0A"/>
    <w:rsid w:val="00772B4D"/>
    <w:rsid w:val="007C5A7F"/>
    <w:rsid w:val="00872EE1"/>
    <w:rsid w:val="008D3764"/>
    <w:rsid w:val="008D3EF4"/>
    <w:rsid w:val="00993F5A"/>
    <w:rsid w:val="00A10E91"/>
    <w:rsid w:val="00A51AB4"/>
    <w:rsid w:val="00B93EDE"/>
    <w:rsid w:val="00BA61DE"/>
    <w:rsid w:val="00C8303C"/>
    <w:rsid w:val="00E63F1B"/>
    <w:rsid w:val="00EA5F17"/>
    <w:rsid w:val="00F36CF9"/>
    <w:rsid w:val="00F86171"/>
    <w:rsid w:val="0116312F"/>
    <w:rsid w:val="014318E2"/>
    <w:rsid w:val="01AC3E36"/>
    <w:rsid w:val="01BF5B43"/>
    <w:rsid w:val="01CD1C39"/>
    <w:rsid w:val="01D803E5"/>
    <w:rsid w:val="01D9137E"/>
    <w:rsid w:val="01DD5481"/>
    <w:rsid w:val="01EB45BC"/>
    <w:rsid w:val="01F110DF"/>
    <w:rsid w:val="0204567E"/>
    <w:rsid w:val="02480FC0"/>
    <w:rsid w:val="02CD31D3"/>
    <w:rsid w:val="02D37F8A"/>
    <w:rsid w:val="02D811AF"/>
    <w:rsid w:val="02F75149"/>
    <w:rsid w:val="030E2285"/>
    <w:rsid w:val="0318128E"/>
    <w:rsid w:val="03490308"/>
    <w:rsid w:val="03865182"/>
    <w:rsid w:val="039B1CD0"/>
    <w:rsid w:val="03F37758"/>
    <w:rsid w:val="040E6340"/>
    <w:rsid w:val="04114082"/>
    <w:rsid w:val="045F7384"/>
    <w:rsid w:val="04760292"/>
    <w:rsid w:val="048A61A5"/>
    <w:rsid w:val="049865CB"/>
    <w:rsid w:val="04C609C8"/>
    <w:rsid w:val="0523777A"/>
    <w:rsid w:val="052C35B8"/>
    <w:rsid w:val="05844FE9"/>
    <w:rsid w:val="05A30221"/>
    <w:rsid w:val="05E87DC7"/>
    <w:rsid w:val="061D14C1"/>
    <w:rsid w:val="06475B39"/>
    <w:rsid w:val="06BA3A44"/>
    <w:rsid w:val="06D849E3"/>
    <w:rsid w:val="06DC0644"/>
    <w:rsid w:val="06DD024B"/>
    <w:rsid w:val="0766118E"/>
    <w:rsid w:val="079B25E0"/>
    <w:rsid w:val="07E46974"/>
    <w:rsid w:val="07E850FA"/>
    <w:rsid w:val="07F92E63"/>
    <w:rsid w:val="08330197"/>
    <w:rsid w:val="087B41C0"/>
    <w:rsid w:val="089E0E96"/>
    <w:rsid w:val="0921034D"/>
    <w:rsid w:val="097A0EA9"/>
    <w:rsid w:val="09893E64"/>
    <w:rsid w:val="09E94294"/>
    <w:rsid w:val="0A96247D"/>
    <w:rsid w:val="0A9D041D"/>
    <w:rsid w:val="0B2A33BE"/>
    <w:rsid w:val="0B5B3C89"/>
    <w:rsid w:val="0B5B57F3"/>
    <w:rsid w:val="0BAC3809"/>
    <w:rsid w:val="0BCE4321"/>
    <w:rsid w:val="0BDD2064"/>
    <w:rsid w:val="0BDF1F58"/>
    <w:rsid w:val="0C1F4E62"/>
    <w:rsid w:val="0C3F13B7"/>
    <w:rsid w:val="0C49169E"/>
    <w:rsid w:val="0C4F77A5"/>
    <w:rsid w:val="0C6A2BAB"/>
    <w:rsid w:val="0C6D7536"/>
    <w:rsid w:val="0C88735B"/>
    <w:rsid w:val="0C917B0E"/>
    <w:rsid w:val="0C9B098C"/>
    <w:rsid w:val="0CA008D5"/>
    <w:rsid w:val="0CC57D40"/>
    <w:rsid w:val="0CD80447"/>
    <w:rsid w:val="0CFE2CC9"/>
    <w:rsid w:val="0D162709"/>
    <w:rsid w:val="0D6F6DE7"/>
    <w:rsid w:val="0D7A4A46"/>
    <w:rsid w:val="0D8E1A34"/>
    <w:rsid w:val="0DA7107D"/>
    <w:rsid w:val="0DC3252B"/>
    <w:rsid w:val="0DC61A39"/>
    <w:rsid w:val="0DC62897"/>
    <w:rsid w:val="0DC67D39"/>
    <w:rsid w:val="0E067BB0"/>
    <w:rsid w:val="0E8A1DD4"/>
    <w:rsid w:val="0E8F4521"/>
    <w:rsid w:val="0ECB61EF"/>
    <w:rsid w:val="0F6204FA"/>
    <w:rsid w:val="0F655282"/>
    <w:rsid w:val="0FC95604"/>
    <w:rsid w:val="102325D8"/>
    <w:rsid w:val="10287F95"/>
    <w:rsid w:val="103F3CEE"/>
    <w:rsid w:val="10FE598E"/>
    <w:rsid w:val="110916A9"/>
    <w:rsid w:val="11464951"/>
    <w:rsid w:val="11670B0A"/>
    <w:rsid w:val="11804CFA"/>
    <w:rsid w:val="11950C3B"/>
    <w:rsid w:val="11962DFF"/>
    <w:rsid w:val="11A85C79"/>
    <w:rsid w:val="11BA306C"/>
    <w:rsid w:val="11C46308"/>
    <w:rsid w:val="12041C87"/>
    <w:rsid w:val="125C3A8E"/>
    <w:rsid w:val="127557DC"/>
    <w:rsid w:val="12995D7D"/>
    <w:rsid w:val="129C720C"/>
    <w:rsid w:val="12CD5618"/>
    <w:rsid w:val="130E2566"/>
    <w:rsid w:val="133F786E"/>
    <w:rsid w:val="1368305A"/>
    <w:rsid w:val="136C5121"/>
    <w:rsid w:val="136E6DFB"/>
    <w:rsid w:val="13AE61F8"/>
    <w:rsid w:val="13C81CF7"/>
    <w:rsid w:val="13D67AA2"/>
    <w:rsid w:val="13D84274"/>
    <w:rsid w:val="13E83E31"/>
    <w:rsid w:val="13F833F3"/>
    <w:rsid w:val="141A42A9"/>
    <w:rsid w:val="14627FE2"/>
    <w:rsid w:val="14757D15"/>
    <w:rsid w:val="14832432"/>
    <w:rsid w:val="14904B4F"/>
    <w:rsid w:val="14C111AC"/>
    <w:rsid w:val="14EA1FD3"/>
    <w:rsid w:val="155B0D1A"/>
    <w:rsid w:val="158429C4"/>
    <w:rsid w:val="158E72E0"/>
    <w:rsid w:val="15B079BC"/>
    <w:rsid w:val="1614677F"/>
    <w:rsid w:val="164E3BED"/>
    <w:rsid w:val="16584547"/>
    <w:rsid w:val="169D148D"/>
    <w:rsid w:val="16E11692"/>
    <w:rsid w:val="16F65FF9"/>
    <w:rsid w:val="171952CF"/>
    <w:rsid w:val="1719707D"/>
    <w:rsid w:val="173D51BC"/>
    <w:rsid w:val="179130B8"/>
    <w:rsid w:val="17AC1CA0"/>
    <w:rsid w:val="17B5354B"/>
    <w:rsid w:val="17BE7039"/>
    <w:rsid w:val="182E4DAB"/>
    <w:rsid w:val="185678AE"/>
    <w:rsid w:val="1864257A"/>
    <w:rsid w:val="187A42AB"/>
    <w:rsid w:val="18A107F5"/>
    <w:rsid w:val="1925382E"/>
    <w:rsid w:val="19267830"/>
    <w:rsid w:val="193C2859"/>
    <w:rsid w:val="196A4BA1"/>
    <w:rsid w:val="198A7DBF"/>
    <w:rsid w:val="19931DBE"/>
    <w:rsid w:val="199C5D44"/>
    <w:rsid w:val="19F75787"/>
    <w:rsid w:val="19FB5B3C"/>
    <w:rsid w:val="1A101FB8"/>
    <w:rsid w:val="1A26452D"/>
    <w:rsid w:val="1A627167"/>
    <w:rsid w:val="1A893151"/>
    <w:rsid w:val="1ADA5453"/>
    <w:rsid w:val="1AE14356"/>
    <w:rsid w:val="1B0F51E0"/>
    <w:rsid w:val="1B3C128E"/>
    <w:rsid w:val="1B59213E"/>
    <w:rsid w:val="1B97329F"/>
    <w:rsid w:val="1B9C64CF"/>
    <w:rsid w:val="1BDE0896"/>
    <w:rsid w:val="1BE154C1"/>
    <w:rsid w:val="1BE51980"/>
    <w:rsid w:val="1C0025BA"/>
    <w:rsid w:val="1C625023"/>
    <w:rsid w:val="1C664760"/>
    <w:rsid w:val="1CB1402C"/>
    <w:rsid w:val="1CE05E1E"/>
    <w:rsid w:val="1D003F1E"/>
    <w:rsid w:val="1D5A38A9"/>
    <w:rsid w:val="1D5D0701"/>
    <w:rsid w:val="1D6D2E3E"/>
    <w:rsid w:val="1D7541A9"/>
    <w:rsid w:val="1D76346C"/>
    <w:rsid w:val="1D7C0366"/>
    <w:rsid w:val="1DE94FC0"/>
    <w:rsid w:val="1DEB36E4"/>
    <w:rsid w:val="1E0C153F"/>
    <w:rsid w:val="1E3173A3"/>
    <w:rsid w:val="1E37428D"/>
    <w:rsid w:val="1E3D7DD1"/>
    <w:rsid w:val="1E8F5E77"/>
    <w:rsid w:val="1EE01A10"/>
    <w:rsid w:val="1EFB6C60"/>
    <w:rsid w:val="1F3A6940"/>
    <w:rsid w:val="1FE31D9C"/>
    <w:rsid w:val="1FEB7D4F"/>
    <w:rsid w:val="1FF26CD4"/>
    <w:rsid w:val="206A7D15"/>
    <w:rsid w:val="20DB1848"/>
    <w:rsid w:val="20E64474"/>
    <w:rsid w:val="20F61C94"/>
    <w:rsid w:val="212711FE"/>
    <w:rsid w:val="214073BD"/>
    <w:rsid w:val="2145369F"/>
    <w:rsid w:val="21EC5F70"/>
    <w:rsid w:val="221C28A4"/>
    <w:rsid w:val="224D196A"/>
    <w:rsid w:val="22550D2C"/>
    <w:rsid w:val="225D1F33"/>
    <w:rsid w:val="22E15992"/>
    <w:rsid w:val="22FA6DA0"/>
    <w:rsid w:val="23030E94"/>
    <w:rsid w:val="230E0951"/>
    <w:rsid w:val="23480683"/>
    <w:rsid w:val="23EF380C"/>
    <w:rsid w:val="240510B5"/>
    <w:rsid w:val="243E133B"/>
    <w:rsid w:val="247B52A9"/>
    <w:rsid w:val="24910600"/>
    <w:rsid w:val="249E76B3"/>
    <w:rsid w:val="25227A45"/>
    <w:rsid w:val="252F32F5"/>
    <w:rsid w:val="259779D8"/>
    <w:rsid w:val="25BF2BE0"/>
    <w:rsid w:val="25E940BF"/>
    <w:rsid w:val="261455E0"/>
    <w:rsid w:val="26431A21"/>
    <w:rsid w:val="266D7350"/>
    <w:rsid w:val="27051412"/>
    <w:rsid w:val="273867D4"/>
    <w:rsid w:val="27536200"/>
    <w:rsid w:val="27C71671"/>
    <w:rsid w:val="27C9523A"/>
    <w:rsid w:val="28586833"/>
    <w:rsid w:val="285A5748"/>
    <w:rsid w:val="28A6098D"/>
    <w:rsid w:val="29192F0D"/>
    <w:rsid w:val="295E6E77"/>
    <w:rsid w:val="297231FE"/>
    <w:rsid w:val="29842A7C"/>
    <w:rsid w:val="29A34872"/>
    <w:rsid w:val="29B45088"/>
    <w:rsid w:val="29BD5F8E"/>
    <w:rsid w:val="29DF3204"/>
    <w:rsid w:val="29E2680F"/>
    <w:rsid w:val="29F942EC"/>
    <w:rsid w:val="2A1738F0"/>
    <w:rsid w:val="2A1A518F"/>
    <w:rsid w:val="2AA8023C"/>
    <w:rsid w:val="2AA859AC"/>
    <w:rsid w:val="2ABC2A83"/>
    <w:rsid w:val="2AF06406"/>
    <w:rsid w:val="2B2D7144"/>
    <w:rsid w:val="2B7F2EE0"/>
    <w:rsid w:val="2B877BF7"/>
    <w:rsid w:val="2BA458C2"/>
    <w:rsid w:val="2BAE39F8"/>
    <w:rsid w:val="2BCC142A"/>
    <w:rsid w:val="2C0C3988"/>
    <w:rsid w:val="2C113126"/>
    <w:rsid w:val="2C510145"/>
    <w:rsid w:val="2C576895"/>
    <w:rsid w:val="2CB6392F"/>
    <w:rsid w:val="2CCB6E4A"/>
    <w:rsid w:val="2CCD600B"/>
    <w:rsid w:val="2D1660E1"/>
    <w:rsid w:val="2D3423E2"/>
    <w:rsid w:val="2D344F5A"/>
    <w:rsid w:val="2D61445C"/>
    <w:rsid w:val="2D9B5DF6"/>
    <w:rsid w:val="2D9C6BE0"/>
    <w:rsid w:val="2E05533E"/>
    <w:rsid w:val="2E2422A1"/>
    <w:rsid w:val="2EB713E0"/>
    <w:rsid w:val="2ECE4854"/>
    <w:rsid w:val="2F4607D4"/>
    <w:rsid w:val="2FA3681A"/>
    <w:rsid w:val="2FA572A9"/>
    <w:rsid w:val="2FB11CAA"/>
    <w:rsid w:val="2FCF3586"/>
    <w:rsid w:val="300D6466"/>
    <w:rsid w:val="30116E0A"/>
    <w:rsid w:val="3054200D"/>
    <w:rsid w:val="30B654E5"/>
    <w:rsid w:val="30FA3624"/>
    <w:rsid w:val="311120C3"/>
    <w:rsid w:val="31145684"/>
    <w:rsid w:val="31367E73"/>
    <w:rsid w:val="313D72AB"/>
    <w:rsid w:val="3155435E"/>
    <w:rsid w:val="31B5579D"/>
    <w:rsid w:val="31E113CB"/>
    <w:rsid w:val="32056724"/>
    <w:rsid w:val="32110852"/>
    <w:rsid w:val="321546FD"/>
    <w:rsid w:val="324A4C8A"/>
    <w:rsid w:val="328A56AC"/>
    <w:rsid w:val="32D6209C"/>
    <w:rsid w:val="33704071"/>
    <w:rsid w:val="338B62BE"/>
    <w:rsid w:val="33B13E0B"/>
    <w:rsid w:val="33BA422E"/>
    <w:rsid w:val="33D70F04"/>
    <w:rsid w:val="33DF368C"/>
    <w:rsid w:val="340F0534"/>
    <w:rsid w:val="34274029"/>
    <w:rsid w:val="342C7F98"/>
    <w:rsid w:val="34715B35"/>
    <w:rsid w:val="348D2A4A"/>
    <w:rsid w:val="34AD2855"/>
    <w:rsid w:val="34C348EC"/>
    <w:rsid w:val="34CB5A03"/>
    <w:rsid w:val="34DA1F3E"/>
    <w:rsid w:val="34E365A3"/>
    <w:rsid w:val="34E93DD1"/>
    <w:rsid w:val="34EB7E44"/>
    <w:rsid w:val="3515212D"/>
    <w:rsid w:val="351A7FF1"/>
    <w:rsid w:val="35266B1D"/>
    <w:rsid w:val="35483E73"/>
    <w:rsid w:val="354B10C7"/>
    <w:rsid w:val="358A6F08"/>
    <w:rsid w:val="35A47900"/>
    <w:rsid w:val="35A66730"/>
    <w:rsid w:val="35AC73E4"/>
    <w:rsid w:val="361C228F"/>
    <w:rsid w:val="362C1DB2"/>
    <w:rsid w:val="36564808"/>
    <w:rsid w:val="366A7F4C"/>
    <w:rsid w:val="36861571"/>
    <w:rsid w:val="36D016D5"/>
    <w:rsid w:val="371A057C"/>
    <w:rsid w:val="3736112E"/>
    <w:rsid w:val="37554924"/>
    <w:rsid w:val="37887BDC"/>
    <w:rsid w:val="37A20571"/>
    <w:rsid w:val="37BD3ADE"/>
    <w:rsid w:val="37D3697D"/>
    <w:rsid w:val="38226FBA"/>
    <w:rsid w:val="38457D38"/>
    <w:rsid w:val="384A0B60"/>
    <w:rsid w:val="384B7A62"/>
    <w:rsid w:val="387977E6"/>
    <w:rsid w:val="389B45D8"/>
    <w:rsid w:val="38A21B12"/>
    <w:rsid w:val="38ED3A6E"/>
    <w:rsid w:val="39033292"/>
    <w:rsid w:val="391D153A"/>
    <w:rsid w:val="395237B1"/>
    <w:rsid w:val="39604889"/>
    <w:rsid w:val="39820932"/>
    <w:rsid w:val="39D30EB6"/>
    <w:rsid w:val="3A04681C"/>
    <w:rsid w:val="3A140C38"/>
    <w:rsid w:val="3ADC4114"/>
    <w:rsid w:val="3B286FE0"/>
    <w:rsid w:val="3B5136C2"/>
    <w:rsid w:val="3B7C2988"/>
    <w:rsid w:val="3B9052B1"/>
    <w:rsid w:val="3B941F62"/>
    <w:rsid w:val="3BB16548"/>
    <w:rsid w:val="3BD149D9"/>
    <w:rsid w:val="3C0637C5"/>
    <w:rsid w:val="3C0D4EF6"/>
    <w:rsid w:val="3C6149C4"/>
    <w:rsid w:val="3C634773"/>
    <w:rsid w:val="3C8D0244"/>
    <w:rsid w:val="3CB22FDE"/>
    <w:rsid w:val="3CDF41AF"/>
    <w:rsid w:val="3D04635E"/>
    <w:rsid w:val="3D7032BF"/>
    <w:rsid w:val="3D8726E3"/>
    <w:rsid w:val="3DDB6E72"/>
    <w:rsid w:val="3E175815"/>
    <w:rsid w:val="3E29152E"/>
    <w:rsid w:val="3E51347B"/>
    <w:rsid w:val="3E86299B"/>
    <w:rsid w:val="3E9077D1"/>
    <w:rsid w:val="3EB81DF6"/>
    <w:rsid w:val="3EBB0897"/>
    <w:rsid w:val="3ED26012"/>
    <w:rsid w:val="3EDA6843"/>
    <w:rsid w:val="3F116934"/>
    <w:rsid w:val="3F1F63BB"/>
    <w:rsid w:val="3F213F04"/>
    <w:rsid w:val="3F216506"/>
    <w:rsid w:val="3F23643C"/>
    <w:rsid w:val="3F4E703C"/>
    <w:rsid w:val="3F88050C"/>
    <w:rsid w:val="3F987FD1"/>
    <w:rsid w:val="3F9901FA"/>
    <w:rsid w:val="3FA23805"/>
    <w:rsid w:val="3FE37A75"/>
    <w:rsid w:val="403F170E"/>
    <w:rsid w:val="40477F08"/>
    <w:rsid w:val="406E3431"/>
    <w:rsid w:val="40727B7A"/>
    <w:rsid w:val="4073583A"/>
    <w:rsid w:val="40DB5220"/>
    <w:rsid w:val="411D221F"/>
    <w:rsid w:val="41385E01"/>
    <w:rsid w:val="41452699"/>
    <w:rsid w:val="415B21F7"/>
    <w:rsid w:val="41706BD4"/>
    <w:rsid w:val="41716BFD"/>
    <w:rsid w:val="417A62CA"/>
    <w:rsid w:val="41954DDD"/>
    <w:rsid w:val="42043605"/>
    <w:rsid w:val="4215200D"/>
    <w:rsid w:val="42152FAA"/>
    <w:rsid w:val="42281C11"/>
    <w:rsid w:val="422D4FE7"/>
    <w:rsid w:val="42B775C7"/>
    <w:rsid w:val="42C56EB7"/>
    <w:rsid w:val="43036574"/>
    <w:rsid w:val="43282388"/>
    <w:rsid w:val="43656110"/>
    <w:rsid w:val="43755416"/>
    <w:rsid w:val="438B333B"/>
    <w:rsid w:val="43A42D2A"/>
    <w:rsid w:val="43AC6A00"/>
    <w:rsid w:val="43C71A8C"/>
    <w:rsid w:val="44255E8D"/>
    <w:rsid w:val="4439400C"/>
    <w:rsid w:val="4504286C"/>
    <w:rsid w:val="45126D36"/>
    <w:rsid w:val="453D2AA0"/>
    <w:rsid w:val="455C3D14"/>
    <w:rsid w:val="460721EA"/>
    <w:rsid w:val="463E4345"/>
    <w:rsid w:val="4665558C"/>
    <w:rsid w:val="46904817"/>
    <w:rsid w:val="46A47E62"/>
    <w:rsid w:val="46E32CE8"/>
    <w:rsid w:val="46ED5E02"/>
    <w:rsid w:val="471A64BB"/>
    <w:rsid w:val="472242ED"/>
    <w:rsid w:val="473867FC"/>
    <w:rsid w:val="475A39AA"/>
    <w:rsid w:val="47AE1640"/>
    <w:rsid w:val="47C00CCC"/>
    <w:rsid w:val="485D238D"/>
    <w:rsid w:val="486D3D3B"/>
    <w:rsid w:val="48DC0EF2"/>
    <w:rsid w:val="49070008"/>
    <w:rsid w:val="492A2D2F"/>
    <w:rsid w:val="492B303E"/>
    <w:rsid w:val="4A125E40"/>
    <w:rsid w:val="4A897345"/>
    <w:rsid w:val="4A8A5D87"/>
    <w:rsid w:val="4AF27771"/>
    <w:rsid w:val="4B1D4687"/>
    <w:rsid w:val="4B3F45FD"/>
    <w:rsid w:val="4B4C3FDD"/>
    <w:rsid w:val="4B7B48D4"/>
    <w:rsid w:val="4B8F7333"/>
    <w:rsid w:val="4BB001BC"/>
    <w:rsid w:val="4BBF74EC"/>
    <w:rsid w:val="4BFC24EE"/>
    <w:rsid w:val="4C141625"/>
    <w:rsid w:val="4C5460CB"/>
    <w:rsid w:val="4C552835"/>
    <w:rsid w:val="4C850ADD"/>
    <w:rsid w:val="4CAE1A3B"/>
    <w:rsid w:val="4CDE381D"/>
    <w:rsid w:val="4D53414C"/>
    <w:rsid w:val="4D6812ED"/>
    <w:rsid w:val="4D87657A"/>
    <w:rsid w:val="4D9724CF"/>
    <w:rsid w:val="4E0408DF"/>
    <w:rsid w:val="4E28581D"/>
    <w:rsid w:val="4E322B09"/>
    <w:rsid w:val="4E3C21D5"/>
    <w:rsid w:val="4E4F07E1"/>
    <w:rsid w:val="4EBD6431"/>
    <w:rsid w:val="4FC92959"/>
    <w:rsid w:val="4FF161E1"/>
    <w:rsid w:val="507916A9"/>
    <w:rsid w:val="50AE0EAE"/>
    <w:rsid w:val="50BE5A88"/>
    <w:rsid w:val="50F100CE"/>
    <w:rsid w:val="510E1F33"/>
    <w:rsid w:val="512972B0"/>
    <w:rsid w:val="51654692"/>
    <w:rsid w:val="51736DAF"/>
    <w:rsid w:val="51A356DB"/>
    <w:rsid w:val="52322CDE"/>
    <w:rsid w:val="52382D1C"/>
    <w:rsid w:val="529A395A"/>
    <w:rsid w:val="52F512CE"/>
    <w:rsid w:val="52F85456"/>
    <w:rsid w:val="532A68AC"/>
    <w:rsid w:val="53551E91"/>
    <w:rsid w:val="537D3F15"/>
    <w:rsid w:val="538C3CE7"/>
    <w:rsid w:val="539E39BD"/>
    <w:rsid w:val="53B763DA"/>
    <w:rsid w:val="53CC1182"/>
    <w:rsid w:val="5483555B"/>
    <w:rsid w:val="54DC110F"/>
    <w:rsid w:val="555E7D76"/>
    <w:rsid w:val="55986DE4"/>
    <w:rsid w:val="55B20070"/>
    <w:rsid w:val="562D7997"/>
    <w:rsid w:val="562E2DB6"/>
    <w:rsid w:val="5671179A"/>
    <w:rsid w:val="56D54068"/>
    <w:rsid w:val="573E5C18"/>
    <w:rsid w:val="574C02BF"/>
    <w:rsid w:val="576A6633"/>
    <w:rsid w:val="57890B61"/>
    <w:rsid w:val="57DE6F4C"/>
    <w:rsid w:val="57E244F3"/>
    <w:rsid w:val="57F64296"/>
    <w:rsid w:val="580919F8"/>
    <w:rsid w:val="581B3FC0"/>
    <w:rsid w:val="58294FC0"/>
    <w:rsid w:val="584344BD"/>
    <w:rsid w:val="58774FFD"/>
    <w:rsid w:val="58EA7C25"/>
    <w:rsid w:val="58EB6257"/>
    <w:rsid w:val="593C03CE"/>
    <w:rsid w:val="59430BF9"/>
    <w:rsid w:val="59954C77"/>
    <w:rsid w:val="59D60501"/>
    <w:rsid w:val="59E3084A"/>
    <w:rsid w:val="59E80909"/>
    <w:rsid w:val="5A1B1363"/>
    <w:rsid w:val="5A5351A3"/>
    <w:rsid w:val="5A67147B"/>
    <w:rsid w:val="5A84582C"/>
    <w:rsid w:val="5A8E0618"/>
    <w:rsid w:val="5A8F1F4C"/>
    <w:rsid w:val="5ABB3054"/>
    <w:rsid w:val="5AEC7BFA"/>
    <w:rsid w:val="5B0E18F6"/>
    <w:rsid w:val="5B254C3D"/>
    <w:rsid w:val="5B345801"/>
    <w:rsid w:val="5B4B1CD3"/>
    <w:rsid w:val="5B806A44"/>
    <w:rsid w:val="5B96414E"/>
    <w:rsid w:val="5BAF1931"/>
    <w:rsid w:val="5BC71339"/>
    <w:rsid w:val="5BED59B0"/>
    <w:rsid w:val="5C3D008F"/>
    <w:rsid w:val="5CE6554F"/>
    <w:rsid w:val="5D14479C"/>
    <w:rsid w:val="5D641F10"/>
    <w:rsid w:val="5D6B696C"/>
    <w:rsid w:val="5D704AEA"/>
    <w:rsid w:val="5D7D4C73"/>
    <w:rsid w:val="5D896C4C"/>
    <w:rsid w:val="5DF00DAF"/>
    <w:rsid w:val="5E4A7CCA"/>
    <w:rsid w:val="5E8C4713"/>
    <w:rsid w:val="5E9561A1"/>
    <w:rsid w:val="5E9E7DE6"/>
    <w:rsid w:val="5EAE4026"/>
    <w:rsid w:val="5EC63475"/>
    <w:rsid w:val="5ED0295A"/>
    <w:rsid w:val="5EE27322"/>
    <w:rsid w:val="5F002C87"/>
    <w:rsid w:val="5F3E4C71"/>
    <w:rsid w:val="5F561C87"/>
    <w:rsid w:val="5F58521A"/>
    <w:rsid w:val="5F6F643C"/>
    <w:rsid w:val="5FDB0BDF"/>
    <w:rsid w:val="5FE74918"/>
    <w:rsid w:val="5FF26229"/>
    <w:rsid w:val="60765F74"/>
    <w:rsid w:val="608E59B3"/>
    <w:rsid w:val="609B32B9"/>
    <w:rsid w:val="60BB3ED6"/>
    <w:rsid w:val="60DB0BE1"/>
    <w:rsid w:val="610463C9"/>
    <w:rsid w:val="61D76EE6"/>
    <w:rsid w:val="61FC0FD5"/>
    <w:rsid w:val="62263245"/>
    <w:rsid w:val="626369CC"/>
    <w:rsid w:val="62CA2924"/>
    <w:rsid w:val="63020DFC"/>
    <w:rsid w:val="630E6520"/>
    <w:rsid w:val="631B72A6"/>
    <w:rsid w:val="635976C3"/>
    <w:rsid w:val="638E5CCA"/>
    <w:rsid w:val="6397692D"/>
    <w:rsid w:val="63B30C39"/>
    <w:rsid w:val="63BA4E6E"/>
    <w:rsid w:val="63D538F9"/>
    <w:rsid w:val="643423CE"/>
    <w:rsid w:val="64367CC8"/>
    <w:rsid w:val="644A53A2"/>
    <w:rsid w:val="6466550D"/>
    <w:rsid w:val="649854A2"/>
    <w:rsid w:val="650146A7"/>
    <w:rsid w:val="65642A5B"/>
    <w:rsid w:val="65A53F1E"/>
    <w:rsid w:val="65BA064C"/>
    <w:rsid w:val="65D00377"/>
    <w:rsid w:val="65F51807"/>
    <w:rsid w:val="66061B48"/>
    <w:rsid w:val="662A1A6C"/>
    <w:rsid w:val="668607D2"/>
    <w:rsid w:val="66F55B27"/>
    <w:rsid w:val="67592068"/>
    <w:rsid w:val="67A67BAE"/>
    <w:rsid w:val="67B11F87"/>
    <w:rsid w:val="67B77DDA"/>
    <w:rsid w:val="67C36D02"/>
    <w:rsid w:val="67D90931"/>
    <w:rsid w:val="680C02DA"/>
    <w:rsid w:val="683D532D"/>
    <w:rsid w:val="6864540F"/>
    <w:rsid w:val="6894168D"/>
    <w:rsid w:val="68945B31"/>
    <w:rsid w:val="68EF158A"/>
    <w:rsid w:val="68F91E38"/>
    <w:rsid w:val="692A1FF1"/>
    <w:rsid w:val="697073DE"/>
    <w:rsid w:val="698575BE"/>
    <w:rsid w:val="69912070"/>
    <w:rsid w:val="69B8584F"/>
    <w:rsid w:val="69E42A95"/>
    <w:rsid w:val="69FE6D7C"/>
    <w:rsid w:val="6AAA72D4"/>
    <w:rsid w:val="6B8032EC"/>
    <w:rsid w:val="6B8E2D0B"/>
    <w:rsid w:val="6C06165A"/>
    <w:rsid w:val="6C111246"/>
    <w:rsid w:val="6C166685"/>
    <w:rsid w:val="6C9B1A5C"/>
    <w:rsid w:val="6D192AA9"/>
    <w:rsid w:val="6D4A1AE1"/>
    <w:rsid w:val="6D6F3404"/>
    <w:rsid w:val="6D8F2D6B"/>
    <w:rsid w:val="6D965EA7"/>
    <w:rsid w:val="6DAE53F9"/>
    <w:rsid w:val="6DDD5E4F"/>
    <w:rsid w:val="6DEB0952"/>
    <w:rsid w:val="6DF76A5D"/>
    <w:rsid w:val="6E1663CE"/>
    <w:rsid w:val="6E7D7067"/>
    <w:rsid w:val="6EAD16FA"/>
    <w:rsid w:val="6EDA0354"/>
    <w:rsid w:val="6EDC0353"/>
    <w:rsid w:val="6EFA611D"/>
    <w:rsid w:val="6F0155A2"/>
    <w:rsid w:val="6F212F78"/>
    <w:rsid w:val="6F255E15"/>
    <w:rsid w:val="6F330871"/>
    <w:rsid w:val="6F4A5805"/>
    <w:rsid w:val="6F66564A"/>
    <w:rsid w:val="6F7719C3"/>
    <w:rsid w:val="6FAE3A47"/>
    <w:rsid w:val="6FD360C5"/>
    <w:rsid w:val="70473489"/>
    <w:rsid w:val="705F4B82"/>
    <w:rsid w:val="7063416C"/>
    <w:rsid w:val="706710F8"/>
    <w:rsid w:val="70726C6C"/>
    <w:rsid w:val="707B1384"/>
    <w:rsid w:val="70984085"/>
    <w:rsid w:val="710F463D"/>
    <w:rsid w:val="712863AB"/>
    <w:rsid w:val="71614A1E"/>
    <w:rsid w:val="716C1971"/>
    <w:rsid w:val="716D3F3E"/>
    <w:rsid w:val="71744751"/>
    <w:rsid w:val="71DE41DB"/>
    <w:rsid w:val="71F6109E"/>
    <w:rsid w:val="72043351"/>
    <w:rsid w:val="72507AA6"/>
    <w:rsid w:val="72600832"/>
    <w:rsid w:val="726C7228"/>
    <w:rsid w:val="72734A09"/>
    <w:rsid w:val="72A252EE"/>
    <w:rsid w:val="72A61BB4"/>
    <w:rsid w:val="72C963D7"/>
    <w:rsid w:val="73530396"/>
    <w:rsid w:val="73631A1C"/>
    <w:rsid w:val="73986A62"/>
    <w:rsid w:val="73CF3EC1"/>
    <w:rsid w:val="745E13AA"/>
    <w:rsid w:val="74614EF0"/>
    <w:rsid w:val="756218F5"/>
    <w:rsid w:val="75705230"/>
    <w:rsid w:val="75767230"/>
    <w:rsid w:val="759B4995"/>
    <w:rsid w:val="75FC686C"/>
    <w:rsid w:val="76073E50"/>
    <w:rsid w:val="761B163F"/>
    <w:rsid w:val="76856AB9"/>
    <w:rsid w:val="76EF5DF9"/>
    <w:rsid w:val="77091498"/>
    <w:rsid w:val="775B6461"/>
    <w:rsid w:val="776B3F01"/>
    <w:rsid w:val="77BF1F5B"/>
    <w:rsid w:val="77F64C9D"/>
    <w:rsid w:val="785720FC"/>
    <w:rsid w:val="785A0AD9"/>
    <w:rsid w:val="787069B7"/>
    <w:rsid w:val="797746BF"/>
    <w:rsid w:val="79D06C4A"/>
    <w:rsid w:val="79ED4604"/>
    <w:rsid w:val="79F36080"/>
    <w:rsid w:val="79F45414"/>
    <w:rsid w:val="79FD2BEA"/>
    <w:rsid w:val="7A044199"/>
    <w:rsid w:val="7A13741D"/>
    <w:rsid w:val="7A217891"/>
    <w:rsid w:val="7A94293E"/>
    <w:rsid w:val="7ACA53E2"/>
    <w:rsid w:val="7B4C4049"/>
    <w:rsid w:val="7B9855B7"/>
    <w:rsid w:val="7BD538F7"/>
    <w:rsid w:val="7BDA78A7"/>
    <w:rsid w:val="7C2D5C29"/>
    <w:rsid w:val="7C451D78"/>
    <w:rsid w:val="7C5C1208"/>
    <w:rsid w:val="7C5E2286"/>
    <w:rsid w:val="7C945CA8"/>
    <w:rsid w:val="7C9C4AA1"/>
    <w:rsid w:val="7CBB49DC"/>
    <w:rsid w:val="7CC0391A"/>
    <w:rsid w:val="7CED5900"/>
    <w:rsid w:val="7CFA6C67"/>
    <w:rsid w:val="7D032E2D"/>
    <w:rsid w:val="7D533E4E"/>
    <w:rsid w:val="7DA82F7E"/>
    <w:rsid w:val="7DDA39C6"/>
    <w:rsid w:val="7DF509C8"/>
    <w:rsid w:val="7E091FC2"/>
    <w:rsid w:val="7E1D39A8"/>
    <w:rsid w:val="7EB8014D"/>
    <w:rsid w:val="7ECF1219"/>
    <w:rsid w:val="7EF10E29"/>
    <w:rsid w:val="7EFC7B34"/>
    <w:rsid w:val="7F022518"/>
    <w:rsid w:val="7F641249"/>
    <w:rsid w:val="7F952E14"/>
    <w:rsid w:val="7FC27CD0"/>
    <w:rsid w:val="7FCC6FD9"/>
    <w:rsid w:val="7FCD2A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12" w:lineRule="auto"/>
      <w:ind w:firstLine="480" w:firstLineChars="200"/>
      <w:jc w:val="both"/>
    </w:pPr>
    <w:rPr>
      <w:rFonts w:eastAsia="宋体" w:asciiTheme="minorAscii" w:hAnsiTheme="minorAscii" w:cstheme="minorBidi"/>
      <w:kern w:val="2"/>
      <w:sz w:val="24"/>
      <w:szCs w:val="24"/>
      <w:lang w:val="en-US" w:eastAsia="zh-CN" w:bidi="ar-SA"/>
    </w:rPr>
  </w:style>
  <w:style w:type="paragraph" w:styleId="2">
    <w:name w:val="heading 1"/>
    <w:basedOn w:val="1"/>
    <w:next w:val="1"/>
    <w:link w:val="38"/>
    <w:qFormat/>
    <w:uiPriority w:val="0"/>
    <w:pPr>
      <w:spacing w:before="240"/>
      <w:ind w:firstLine="0" w:firstLineChars="0"/>
      <w:jc w:val="center"/>
      <w:outlineLvl w:val="0"/>
    </w:pPr>
    <w:rPr>
      <w:rFonts w:ascii="Times New Roman" w:hAnsi="Times New Roman"/>
      <w:b/>
      <w:sz w:val="32"/>
      <w:szCs w:val="30"/>
    </w:rPr>
  </w:style>
  <w:style w:type="paragraph" w:styleId="3">
    <w:name w:val="heading 2"/>
    <w:basedOn w:val="1"/>
    <w:next w:val="1"/>
    <w:link w:val="37"/>
    <w:unhideWhenUsed/>
    <w:qFormat/>
    <w:uiPriority w:val="0"/>
    <w:pPr>
      <w:keepNext/>
      <w:keepLines/>
      <w:ind w:firstLine="0" w:firstLineChars="0"/>
      <w:jc w:val="left"/>
      <w:outlineLvl w:val="1"/>
    </w:pPr>
    <w:rPr>
      <w:rFonts w:ascii="宋体" w:hAnsi="宋体"/>
      <w:b/>
      <w:sz w:val="28"/>
      <w:szCs w:val="20"/>
    </w:rPr>
  </w:style>
  <w:style w:type="paragraph" w:styleId="4">
    <w:name w:val="heading 3"/>
    <w:basedOn w:val="1"/>
    <w:next w:val="1"/>
    <w:unhideWhenUsed/>
    <w:qFormat/>
    <w:uiPriority w:val="0"/>
    <w:pPr>
      <w:keepNext/>
      <w:keepLines/>
      <w:ind w:firstLine="0" w:firstLineChars="0"/>
      <w:jc w:val="left"/>
      <w:outlineLvl w:val="2"/>
    </w:pPr>
    <w:rPr>
      <w:rFonts w:ascii="宋体" w:hAnsi="宋体"/>
      <w:b/>
      <w:bCs/>
      <w:szCs w:val="32"/>
    </w:rPr>
  </w:style>
  <w:style w:type="paragraph" w:styleId="5">
    <w:name w:val="heading 4"/>
    <w:basedOn w:val="1"/>
    <w:next w:val="1"/>
    <w:semiHidden/>
    <w:unhideWhenUsed/>
    <w:qFormat/>
    <w:uiPriority w:val="0"/>
    <w:pPr>
      <w:keepNext/>
      <w:keepLines/>
      <w:numPr>
        <w:ilvl w:val="3"/>
        <w:numId w:val="1"/>
      </w:numPr>
      <w:adjustRightInd w:val="0"/>
      <w:spacing w:line="360" w:lineRule="auto"/>
      <w:ind w:left="0"/>
      <w:jc w:val="left"/>
      <w:outlineLvl w:val="3"/>
    </w:pPr>
    <w:rPr>
      <w:rFonts w:ascii="宋体" w:hAnsi="Arial"/>
      <w:bCs/>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spacing w:line="360" w:lineRule="auto"/>
      <w:ind w:firstLine="420" w:firstLineChars="200"/>
    </w:pPr>
    <w:rPr>
      <w:rFonts w:ascii="Times New Roman" w:hAnsi="Times New Roman" w:eastAsia="宋体"/>
      <w:sz w:val="28"/>
      <w:szCs w:val="20"/>
    </w:rPr>
  </w:style>
  <w:style w:type="paragraph" w:styleId="7">
    <w:name w:val="Body Text"/>
    <w:basedOn w:val="1"/>
    <w:unhideWhenUsed/>
    <w:qFormat/>
    <w:uiPriority w:val="99"/>
    <w:pPr>
      <w:spacing w:after="120" w:afterLines="0"/>
    </w:pPr>
  </w:style>
  <w:style w:type="paragraph" w:styleId="8">
    <w:name w:val="Block Text"/>
    <w:basedOn w:val="1"/>
    <w:qFormat/>
    <w:uiPriority w:val="0"/>
    <w:pPr>
      <w:ind w:left="420" w:leftChars="200" w:right="386" w:rightChars="184" w:firstLine="482"/>
    </w:pPr>
    <w:rPr>
      <w:b/>
      <w:bCs/>
      <w:color w:val="333399"/>
    </w:rPr>
  </w:style>
  <w:style w:type="paragraph" w:styleId="9">
    <w:name w:val="Plain Text"/>
    <w:basedOn w:val="1"/>
    <w:qFormat/>
    <w:uiPriority w:val="0"/>
    <w:rPr>
      <w:rFonts w:ascii="宋体" w:hAnsi="Courier New" w:cs="Courier New"/>
      <w:szCs w:val="21"/>
    </w:rPr>
  </w:style>
  <w:style w:type="paragraph" w:styleId="10">
    <w:name w:val="footer"/>
    <w:basedOn w:val="1"/>
    <w:qFormat/>
    <w:uiPriority w:val="0"/>
    <w:pPr>
      <w:tabs>
        <w:tab w:val="center" w:pos="4153"/>
        <w:tab w:val="right" w:pos="8306"/>
      </w:tabs>
      <w:snapToGrid w:val="0"/>
      <w:jc w:val="left"/>
    </w:pPr>
  </w:style>
  <w:style w:type="paragraph" w:styleId="11">
    <w:name w:val="header"/>
    <w:basedOn w:val="1"/>
    <w:qFormat/>
    <w:uiPriority w:val="0"/>
    <w:pPr>
      <w:pBdr>
        <w:bottom w:val="single" w:color="auto" w:sz="6" w:space="1"/>
      </w:pBdr>
      <w:tabs>
        <w:tab w:val="center" w:pos="4153"/>
        <w:tab w:val="right" w:pos="8306"/>
      </w:tabs>
      <w:snapToGrid w:val="0"/>
      <w:jc w:val="center"/>
    </w:pPr>
    <w:rPr>
      <w:sz w:val="21"/>
    </w:rPr>
  </w:style>
  <w:style w:type="paragraph" w:styleId="12">
    <w:name w:val="toc 1"/>
    <w:basedOn w:val="1"/>
    <w:next w:val="1"/>
    <w:qFormat/>
    <w:uiPriority w:val="0"/>
    <w:pPr>
      <w:spacing w:before="120" w:after="120"/>
      <w:ind w:firstLine="422"/>
      <w:jc w:val="left"/>
    </w:pPr>
    <w:rPr>
      <w:b/>
      <w:bCs/>
      <w:caps/>
      <w:sz w:val="21"/>
      <w:szCs w:val="20"/>
    </w:rPr>
  </w:style>
  <w:style w:type="paragraph" w:styleId="13">
    <w:name w:val="toc 2"/>
    <w:basedOn w:val="1"/>
    <w:next w:val="1"/>
    <w:qFormat/>
    <w:uiPriority w:val="0"/>
    <w:pPr>
      <w:ind w:left="210" w:firstLine="400"/>
      <w:jc w:val="left"/>
    </w:pPr>
    <w:rPr>
      <w:smallCaps/>
      <w:sz w:val="20"/>
      <w:szCs w:val="20"/>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qFormat/>
    <w:uiPriority w:val="0"/>
    <w:rPr>
      <w:i/>
    </w:rPr>
  </w:style>
  <w:style w:type="paragraph" w:customStyle="1" w:styleId="18">
    <w:name w:val="样式 正文 + 首行缩进:  2 字符"/>
    <w:basedOn w:val="1"/>
    <w:next w:val="7"/>
    <w:qFormat/>
    <w:uiPriority w:val="0"/>
  </w:style>
  <w:style w:type="paragraph" w:customStyle="1" w:styleId="19">
    <w:name w:val="Default"/>
    <w:next w:val="11"/>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customStyle="1" w:styleId="20">
    <w:name w:val="表格样式"/>
    <w:basedOn w:val="1"/>
    <w:qFormat/>
    <w:uiPriority w:val="0"/>
    <w:pPr>
      <w:ind w:firstLine="0" w:firstLineChars="0"/>
    </w:pPr>
    <w:rPr>
      <w:sz w:val="21"/>
    </w:rPr>
  </w:style>
  <w:style w:type="paragraph" w:customStyle="1" w:styleId="21">
    <w:name w:val="标题4"/>
    <w:basedOn w:val="4"/>
    <w:next w:val="1"/>
    <w:qFormat/>
    <w:uiPriority w:val="0"/>
    <w:rPr>
      <w:b w:val="0"/>
    </w:rPr>
  </w:style>
  <w:style w:type="paragraph" w:customStyle="1" w:styleId="22">
    <w:name w:val="目录1"/>
    <w:basedOn w:val="13"/>
    <w:next w:val="13"/>
    <w:qFormat/>
    <w:uiPriority w:val="0"/>
  </w:style>
  <w:style w:type="character" w:customStyle="1" w:styleId="23">
    <w:name w:val="标题 1 字符"/>
    <w:link w:val="2"/>
    <w:qFormat/>
    <w:uiPriority w:val="0"/>
    <w:rPr>
      <w:rFonts w:ascii="Times New Roman" w:hAnsi="Times New Roman" w:eastAsia="宋体"/>
      <w:b/>
      <w:sz w:val="32"/>
      <w:szCs w:val="30"/>
    </w:rPr>
  </w:style>
  <w:style w:type="paragraph" w:customStyle="1" w:styleId="24">
    <w:name w:val="样式4"/>
    <w:next w:val="25"/>
    <w:qFormat/>
    <w:uiPriority w:val="0"/>
    <w:pPr>
      <w:ind w:firstLine="573"/>
    </w:pPr>
    <w:rPr>
      <w:rFonts w:ascii="Times New Roman" w:hAnsi="Times New Roman" w:eastAsia="宋体" w:cs="Times New Roman"/>
      <w:spacing w:val="-2"/>
      <w:sz w:val="28"/>
      <w:szCs w:val="22"/>
      <w:lang w:val="en-US" w:eastAsia="zh-CN" w:bidi="ar-SA"/>
    </w:rPr>
  </w:style>
  <w:style w:type="paragraph" w:customStyle="1" w:styleId="25">
    <w:name w:val="表格左对齐"/>
    <w:basedOn w:val="26"/>
    <w:qFormat/>
    <w:uiPriority w:val="0"/>
    <w:pPr>
      <w:ind w:left="0" w:firstLine="0" w:firstLineChars="0"/>
    </w:pPr>
  </w:style>
  <w:style w:type="paragraph" w:customStyle="1" w:styleId="26">
    <w:name w:val="表格左缩进"/>
    <w:basedOn w:val="1"/>
    <w:qFormat/>
    <w:uiPriority w:val="0"/>
    <w:pPr>
      <w:adjustRightInd w:val="0"/>
      <w:snapToGrid w:val="0"/>
      <w:ind w:left="7" w:firstLine="200"/>
      <w:jc w:val="left"/>
    </w:pPr>
    <w:rPr>
      <w:rFonts w:ascii="宋体"/>
      <w:szCs w:val="21"/>
    </w:rPr>
  </w:style>
  <w:style w:type="paragraph" w:customStyle="1" w:styleId="27">
    <w:name w:val="无间隔1"/>
    <w:qFormat/>
    <w:uiPriority w:val="1"/>
    <w:rPr>
      <w:rFonts w:ascii="Calibri" w:hAnsi="Calibri" w:eastAsia="宋体" w:cs="Times New Roman"/>
      <w:sz w:val="22"/>
      <w:szCs w:val="22"/>
      <w:lang w:val="en-US" w:eastAsia="zh-CN" w:bidi="ar-SA"/>
    </w:rPr>
  </w:style>
  <w:style w:type="paragraph" w:customStyle="1" w:styleId="28">
    <w:name w:val="2"/>
    <w:basedOn w:val="1"/>
    <w:next w:val="1"/>
    <w:qFormat/>
    <w:uiPriority w:val="0"/>
    <w:pPr>
      <w:spacing w:line="360" w:lineRule="auto"/>
      <w:ind w:firstLine="200"/>
    </w:pPr>
    <w:rPr>
      <w:szCs w:val="20"/>
    </w:rPr>
  </w:style>
  <w:style w:type="paragraph" w:customStyle="1" w:styleId="29">
    <w:name w:val="方案正文"/>
    <w:basedOn w:val="1"/>
    <w:link w:val="34"/>
    <w:qFormat/>
    <w:uiPriority w:val="0"/>
    <w:pPr>
      <w:adjustRightInd w:val="0"/>
      <w:spacing w:line="360" w:lineRule="auto"/>
      <w:jc w:val="left"/>
    </w:pPr>
    <w:rPr>
      <w:rFonts w:ascii="宋体" w:cs="宋体"/>
    </w:rPr>
  </w:style>
  <w:style w:type="table" w:customStyle="1" w:styleId="30">
    <w:name w:val="网格型1"/>
    <w:basedOn w:val="1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
    <w:name w:val="样式 四号3"/>
    <w:basedOn w:val="16"/>
    <w:qFormat/>
    <w:uiPriority w:val="0"/>
    <w:rPr>
      <w:sz w:val="24"/>
    </w:rPr>
  </w:style>
  <w:style w:type="paragraph" w:customStyle="1" w:styleId="32">
    <w:name w:val="中标正文"/>
    <w:basedOn w:val="1"/>
    <w:qFormat/>
    <w:uiPriority w:val="0"/>
    <w:pPr>
      <w:widowControl/>
      <w:tabs>
        <w:tab w:val="left" w:pos="2880"/>
      </w:tabs>
      <w:adjustRightInd w:val="0"/>
      <w:snapToGrid w:val="0"/>
      <w:spacing w:line="360" w:lineRule="auto"/>
      <w:ind w:firstLine="480" w:firstLineChars="200"/>
      <w:jc w:val="left"/>
    </w:pPr>
    <w:rPr>
      <w:kern w:val="0"/>
      <w:sz w:val="24"/>
      <w:szCs w:val="24"/>
    </w:rPr>
  </w:style>
  <w:style w:type="paragraph" w:customStyle="1" w:styleId="33">
    <w:name w:val="样式 左侧:  0 厘米 首行缩进:  0 厘米"/>
    <w:basedOn w:val="1"/>
    <w:qFormat/>
    <w:uiPriority w:val="0"/>
    <w:pPr>
      <w:numPr>
        <w:ilvl w:val="0"/>
        <w:numId w:val="2"/>
      </w:numPr>
      <w:spacing w:line="360" w:lineRule="auto"/>
    </w:pPr>
    <w:rPr>
      <w:rFonts w:ascii="Times New Roman" w:hAnsi="Times New Roman"/>
      <w:szCs w:val="24"/>
    </w:rPr>
  </w:style>
  <w:style w:type="character" w:customStyle="1" w:styleId="34">
    <w:name w:val="方案正文 Char"/>
    <w:basedOn w:val="16"/>
    <w:link w:val="29"/>
    <w:qFormat/>
    <w:uiPriority w:val="0"/>
    <w:rPr>
      <w:rFonts w:ascii="宋体" w:cs="宋体"/>
    </w:rPr>
  </w:style>
  <w:style w:type="paragraph" w:customStyle="1" w:styleId="35">
    <w:name w:val=" Char"/>
    <w:basedOn w:val="1"/>
    <w:qFormat/>
    <w:uiPriority w:val="0"/>
    <w:rPr>
      <w:szCs w:val="21"/>
    </w:rPr>
  </w:style>
  <w:style w:type="paragraph" w:customStyle="1" w:styleId="36">
    <w:name w:val="表样式"/>
    <w:basedOn w:val="1"/>
    <w:qFormat/>
    <w:locked/>
    <w:uiPriority w:val="0"/>
    <w:pPr>
      <w:spacing w:line="276" w:lineRule="auto"/>
      <w:jc w:val="center"/>
    </w:pPr>
    <w:rPr>
      <w:rFonts w:ascii="仿宋_GB2312" w:hAnsi="宋体"/>
      <w:sz w:val="21"/>
      <w:szCs w:val="28"/>
    </w:rPr>
  </w:style>
  <w:style w:type="character" w:customStyle="1" w:styleId="37">
    <w:name w:val="标题 2 Char"/>
    <w:link w:val="3"/>
    <w:qFormat/>
    <w:uiPriority w:val="0"/>
    <w:rPr>
      <w:rFonts w:ascii="宋体" w:hAnsi="宋体"/>
      <w:b/>
      <w:sz w:val="28"/>
      <w:szCs w:val="20"/>
    </w:rPr>
  </w:style>
  <w:style w:type="character" w:customStyle="1" w:styleId="38">
    <w:name w:val="标题 1 Char"/>
    <w:link w:val="2"/>
    <w:qFormat/>
    <w:uiPriority w:val="9"/>
    <w:rPr>
      <w:rFonts w:ascii="Times New Roman" w:hAnsi="Times New Roman" w:eastAsia="宋体"/>
      <w:b/>
      <w:bCs/>
      <w:kern w:val="44"/>
      <w:sz w:val="30"/>
      <w:szCs w:val="44"/>
    </w:rPr>
  </w:style>
  <w:style w:type="paragraph" w:customStyle="1" w:styleId="39">
    <w:name w:val="正文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wps\zh_CN\Normal.dotm02.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Normal.dotm02</Template>
  <Company>P R C</Company>
  <Pages>33</Pages>
  <Words>3578</Words>
  <Characters>20400</Characters>
  <Lines>170</Lines>
  <Paragraphs>47</Paragraphs>
  <TotalTime>1</TotalTime>
  <ScaleCrop>false</ScaleCrop>
  <LinksUpToDate>false</LinksUpToDate>
  <CharactersWithSpaces>23931</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2018-01-07T07:33:00Z</dcterms:created>
  <dc:creator>Administrator</dc:creator>
  <cp:lastModifiedBy>一蓑笠</cp:lastModifiedBy>
  <cp:lastPrinted>2018-01-08T06:13:00Z</cp:lastPrinted>
  <dcterms:modified xsi:type="dcterms:W3CDTF">2023-09-14T10:25:40Z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944F7A3418E145AC8801B1070389B45B_13</vt:lpwstr>
  </property>
</Properties>
</file>